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57C1" w14:textId="6AA25934" w:rsidR="006437BE" w:rsidRPr="00D80B38" w:rsidRDefault="006437BE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BILJEŠKE UZ FINANCIJSKA IZVJEŠĆA</w:t>
      </w:r>
    </w:p>
    <w:p w14:paraId="413078A1" w14:textId="14D146ED" w:rsidR="006437BE" w:rsidRPr="00D80B38" w:rsidRDefault="00E979CB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OPĆINE </w:t>
      </w:r>
      <w:r w:rsidR="00D80B38" w:rsidRPr="00D80B38">
        <w:rPr>
          <w:rFonts w:ascii="Book Antiqua" w:hAnsi="Book Antiqua" w:cs="Arial"/>
          <w:b/>
        </w:rPr>
        <w:t>PODCRKAVLJE</w:t>
      </w:r>
    </w:p>
    <w:p w14:paraId="2BA8D7C6" w14:textId="77777777" w:rsidR="00BB5098" w:rsidRPr="00D80B38" w:rsidRDefault="006437BE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ZA</w:t>
      </w:r>
      <w:r w:rsidR="00BB5098" w:rsidRPr="00D80B38">
        <w:rPr>
          <w:rFonts w:ascii="Book Antiqua" w:hAnsi="Book Antiqua" w:cs="Arial"/>
          <w:b/>
        </w:rPr>
        <w:t xml:space="preserve"> RAZDOBLJE</w:t>
      </w:r>
    </w:p>
    <w:p w14:paraId="7B909971" w14:textId="2F94A2A9" w:rsidR="006437BE" w:rsidRPr="00D80B38" w:rsidRDefault="00BB5098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01.01.202</w:t>
      </w:r>
      <w:r w:rsidR="005913EA">
        <w:rPr>
          <w:rFonts w:ascii="Book Antiqua" w:hAnsi="Book Antiqua" w:cs="Arial"/>
          <w:b/>
        </w:rPr>
        <w:t>4</w:t>
      </w:r>
      <w:r w:rsidRPr="00D80B38">
        <w:rPr>
          <w:rFonts w:ascii="Book Antiqua" w:hAnsi="Book Antiqua" w:cs="Arial"/>
          <w:b/>
        </w:rPr>
        <w:t>. – 3</w:t>
      </w:r>
      <w:r w:rsidR="00987BF1" w:rsidRPr="00D80B38">
        <w:rPr>
          <w:rFonts w:ascii="Book Antiqua" w:hAnsi="Book Antiqua" w:cs="Arial"/>
          <w:b/>
        </w:rPr>
        <w:t>1</w:t>
      </w:r>
      <w:r w:rsidRPr="00D80B38">
        <w:rPr>
          <w:rFonts w:ascii="Book Antiqua" w:hAnsi="Book Antiqua" w:cs="Arial"/>
          <w:b/>
        </w:rPr>
        <w:t>.</w:t>
      </w:r>
      <w:r w:rsidR="005913EA">
        <w:rPr>
          <w:rFonts w:ascii="Book Antiqua" w:hAnsi="Book Antiqua" w:cs="Arial"/>
          <w:b/>
        </w:rPr>
        <w:t>1</w:t>
      </w:r>
      <w:r w:rsidR="00987BF1" w:rsidRPr="00D80B38">
        <w:rPr>
          <w:rFonts w:ascii="Book Antiqua" w:hAnsi="Book Antiqua" w:cs="Arial"/>
          <w:b/>
        </w:rPr>
        <w:t>2</w:t>
      </w:r>
      <w:r w:rsidRPr="00D80B38">
        <w:rPr>
          <w:rFonts w:ascii="Book Antiqua" w:hAnsi="Book Antiqua" w:cs="Arial"/>
          <w:b/>
        </w:rPr>
        <w:t>.202</w:t>
      </w:r>
      <w:r w:rsidR="005913EA">
        <w:rPr>
          <w:rFonts w:ascii="Book Antiqua" w:hAnsi="Book Antiqua" w:cs="Arial"/>
          <w:b/>
        </w:rPr>
        <w:t>4</w:t>
      </w:r>
      <w:r w:rsidRPr="00D80B38">
        <w:rPr>
          <w:rFonts w:ascii="Book Antiqua" w:hAnsi="Book Antiqua" w:cs="Arial"/>
          <w:b/>
        </w:rPr>
        <w:t>.</w:t>
      </w:r>
    </w:p>
    <w:p w14:paraId="5FA01FB6" w14:textId="04159BD1" w:rsidR="007748A5" w:rsidRPr="00D80B38" w:rsidRDefault="007748A5" w:rsidP="006437BE">
      <w:pPr>
        <w:spacing w:after="0"/>
        <w:jc w:val="center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- razina 22 -</w:t>
      </w:r>
    </w:p>
    <w:p w14:paraId="755B85E6" w14:textId="77777777" w:rsidR="00EB4AF7" w:rsidRPr="00D80B38" w:rsidRDefault="00EB4AF7" w:rsidP="00890D0A">
      <w:pPr>
        <w:spacing w:after="0"/>
        <w:jc w:val="center"/>
        <w:rPr>
          <w:rFonts w:ascii="Book Antiqua" w:hAnsi="Book Antiqua" w:cs="Arial"/>
          <w:b/>
        </w:rPr>
      </w:pPr>
    </w:p>
    <w:p w14:paraId="532CC084" w14:textId="381C3B13" w:rsidR="00EB4AF7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NAZIV: </w:t>
      </w:r>
      <w:r w:rsidR="00E979CB" w:rsidRPr="00D80B38">
        <w:rPr>
          <w:rFonts w:ascii="Book Antiqua" w:hAnsi="Book Antiqua" w:cs="Arial"/>
          <w:b/>
        </w:rPr>
        <w:t xml:space="preserve">OPĆINA </w:t>
      </w:r>
      <w:r w:rsidR="00D80B38" w:rsidRPr="00D80B38">
        <w:rPr>
          <w:rFonts w:ascii="Book Antiqua" w:hAnsi="Book Antiqua" w:cs="Arial"/>
          <w:b/>
        </w:rPr>
        <w:t>PODCRKAVLJE</w:t>
      </w:r>
    </w:p>
    <w:p w14:paraId="76E25A72" w14:textId="5FA6C9E6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ADRESA: </w:t>
      </w:r>
      <w:r w:rsidR="00D80B38" w:rsidRPr="00D80B38">
        <w:rPr>
          <w:rFonts w:ascii="Book Antiqua" w:hAnsi="Book Antiqua" w:cs="Arial"/>
          <w:b/>
        </w:rPr>
        <w:t>Trg 108. brigade ZNG 11, 35201 Podcrkavlje</w:t>
      </w:r>
    </w:p>
    <w:p w14:paraId="64B4C717" w14:textId="3BE9E08E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OIB: </w:t>
      </w:r>
      <w:r w:rsidR="00D80B38" w:rsidRPr="00D80B38">
        <w:rPr>
          <w:rFonts w:ascii="Book Antiqua" w:hAnsi="Book Antiqua" w:cs="Arial"/>
          <w:b/>
        </w:rPr>
        <w:t>39613161208</w:t>
      </w:r>
    </w:p>
    <w:p w14:paraId="0646AAFB" w14:textId="4272B403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MATIČNI BROJ: </w:t>
      </w:r>
      <w:r w:rsidR="00D80B38" w:rsidRPr="00D80B38">
        <w:rPr>
          <w:rFonts w:ascii="Book Antiqua" w:hAnsi="Book Antiqua" w:cs="Times New Roman"/>
          <w:b/>
        </w:rPr>
        <w:t>02586975</w:t>
      </w:r>
    </w:p>
    <w:p w14:paraId="601A08B1" w14:textId="25DB66C2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RKP: </w:t>
      </w:r>
      <w:r w:rsidR="00D80B38" w:rsidRPr="00D80B38">
        <w:rPr>
          <w:rFonts w:ascii="Book Antiqua" w:hAnsi="Book Antiqua" w:cs="Times New Roman"/>
          <w:b/>
        </w:rPr>
        <w:t>37164</w:t>
      </w:r>
    </w:p>
    <w:p w14:paraId="61CC6044" w14:textId="41B6811F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ŠIFRA DJELATNOSTI PREMA NKD: </w:t>
      </w:r>
      <w:r w:rsidR="00E979CB" w:rsidRPr="00D80B38">
        <w:rPr>
          <w:rFonts w:ascii="Book Antiqua" w:hAnsi="Book Antiqua" w:cs="Arial"/>
          <w:b/>
        </w:rPr>
        <w:t>8411</w:t>
      </w:r>
    </w:p>
    <w:p w14:paraId="2BE8F5EF" w14:textId="637C39C8" w:rsidR="009C1B65" w:rsidRPr="00D80B38" w:rsidRDefault="009C1B65" w:rsidP="00EB4AF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RAZINA: 2</w:t>
      </w:r>
      <w:r w:rsidR="00E979CB" w:rsidRPr="00D80B38">
        <w:rPr>
          <w:rFonts w:ascii="Book Antiqua" w:hAnsi="Book Antiqua" w:cs="Arial"/>
          <w:b/>
        </w:rPr>
        <w:t>2</w:t>
      </w:r>
      <w:r w:rsidRPr="00D80B38">
        <w:rPr>
          <w:rFonts w:ascii="Book Antiqua" w:hAnsi="Book Antiqua" w:cs="Arial"/>
          <w:b/>
        </w:rPr>
        <w:t xml:space="preserve"> – proračun jedinice lokalne i područne (regionalne) samouprave</w:t>
      </w:r>
    </w:p>
    <w:p w14:paraId="232FA5AC" w14:textId="77777777" w:rsidR="00EB4AF7" w:rsidRPr="00D80B38" w:rsidRDefault="00EB4AF7" w:rsidP="00890D0A">
      <w:pPr>
        <w:spacing w:after="0"/>
        <w:jc w:val="center"/>
        <w:rPr>
          <w:rFonts w:ascii="Book Antiqua" w:hAnsi="Book Antiqua" w:cs="Arial"/>
          <w:b/>
        </w:rPr>
      </w:pPr>
    </w:p>
    <w:p w14:paraId="43969C68" w14:textId="1F8716D2" w:rsidR="00453D45" w:rsidRPr="00D80B38" w:rsidRDefault="006437BE" w:rsidP="00890D0A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Č</w:t>
      </w:r>
      <w:r w:rsidR="00CF4FF6" w:rsidRPr="00D80B38">
        <w:rPr>
          <w:rFonts w:ascii="Book Antiqua" w:hAnsi="Book Antiqua" w:cs="Arial"/>
        </w:rPr>
        <w:t>lan</w:t>
      </w:r>
      <w:r w:rsidR="00453D45" w:rsidRPr="00D80B38">
        <w:rPr>
          <w:rFonts w:ascii="Book Antiqua" w:hAnsi="Book Antiqua" w:cs="Arial"/>
        </w:rPr>
        <w:t>cima 14.</w:t>
      </w:r>
      <w:r w:rsidR="00987BF1" w:rsidRPr="00D80B38">
        <w:rPr>
          <w:rFonts w:ascii="Book Antiqua" w:hAnsi="Book Antiqua" w:cs="Arial"/>
        </w:rPr>
        <w:t xml:space="preserve"> - </w:t>
      </w:r>
      <w:r w:rsidR="00E979CB" w:rsidRPr="00D80B38">
        <w:rPr>
          <w:rFonts w:ascii="Book Antiqua" w:hAnsi="Book Antiqua" w:cs="Arial"/>
        </w:rPr>
        <w:t>18</w:t>
      </w:r>
      <w:r w:rsidR="00453D45" w:rsidRPr="00D80B38">
        <w:rPr>
          <w:rFonts w:ascii="Book Antiqua" w:hAnsi="Book Antiqua" w:cs="Arial"/>
        </w:rPr>
        <w:t xml:space="preserve">. </w:t>
      </w:r>
      <w:r w:rsidR="00CF4FF6" w:rsidRPr="00D80B38">
        <w:rPr>
          <w:rFonts w:ascii="Book Antiqua" w:hAnsi="Book Antiqua" w:cs="Arial"/>
        </w:rPr>
        <w:t xml:space="preserve">Pravilnika o financijskom izvještavanju u proračunskom računovodstvu </w:t>
      </w:r>
      <w:r w:rsidR="00890D0A" w:rsidRPr="00D80B38">
        <w:rPr>
          <w:rFonts w:ascii="Book Antiqua" w:hAnsi="Book Antiqua" w:cs="Arial"/>
        </w:rPr>
        <w:t xml:space="preserve">(Narodne novine br. </w:t>
      </w:r>
      <w:r w:rsidR="00453D45" w:rsidRPr="00D80B38">
        <w:rPr>
          <w:rFonts w:ascii="Book Antiqua" w:hAnsi="Book Antiqua" w:cs="Arial"/>
        </w:rPr>
        <w:t>37/2022</w:t>
      </w:r>
      <w:r w:rsidR="00890D0A" w:rsidRPr="00D80B38">
        <w:rPr>
          <w:rFonts w:ascii="Book Antiqua" w:hAnsi="Book Antiqua" w:cs="Arial"/>
        </w:rPr>
        <w:t xml:space="preserve">) </w:t>
      </w:r>
      <w:r w:rsidR="00CF4FF6" w:rsidRPr="00D80B38">
        <w:rPr>
          <w:rFonts w:ascii="Book Antiqua" w:hAnsi="Book Antiqua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Pr="00D80B38" w:rsidRDefault="00453D45" w:rsidP="00890D0A">
      <w:pPr>
        <w:spacing w:after="0"/>
        <w:jc w:val="both"/>
        <w:rPr>
          <w:rFonts w:ascii="Book Antiqua" w:hAnsi="Book Antiqua" w:cs="Arial"/>
        </w:rPr>
      </w:pPr>
    </w:p>
    <w:p w14:paraId="317D55C6" w14:textId="4E527A8B" w:rsidR="00CF4FF6" w:rsidRPr="00D80B38" w:rsidRDefault="00E979CB" w:rsidP="00890D0A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Općina </w:t>
      </w:r>
      <w:r w:rsidR="00D80B38" w:rsidRPr="00D80B38">
        <w:rPr>
          <w:rFonts w:ascii="Book Antiqua" w:hAnsi="Book Antiqua" w:cs="Arial"/>
        </w:rPr>
        <w:t>Podcrkavlje</w:t>
      </w:r>
      <w:r w:rsidRPr="00D80B38">
        <w:rPr>
          <w:rFonts w:ascii="Book Antiqua" w:hAnsi="Book Antiqua" w:cs="Arial"/>
        </w:rPr>
        <w:t xml:space="preserve"> </w:t>
      </w:r>
      <w:r w:rsidR="00CF4FF6" w:rsidRPr="00D80B38">
        <w:rPr>
          <w:rFonts w:ascii="Book Antiqua" w:hAnsi="Book Antiqua" w:cs="Arial"/>
        </w:rPr>
        <w:t>pri evidentiranju poslovnih promjena primjenjuje modificirano računovodstveno načelo priznavanja prihoda i rashoda te je obveznik proračunskog računovodstva.</w:t>
      </w:r>
    </w:p>
    <w:p w14:paraId="4F0BBB13" w14:textId="56DA6B22" w:rsidR="00E30C3D" w:rsidRPr="00D80B38" w:rsidRDefault="00E30C3D" w:rsidP="00912F96">
      <w:pPr>
        <w:spacing w:after="0"/>
        <w:rPr>
          <w:rFonts w:ascii="Book Antiqua" w:hAnsi="Book Antiqua" w:cs="Arial"/>
          <w:b/>
          <w:u w:val="single"/>
        </w:rPr>
      </w:pPr>
    </w:p>
    <w:p w14:paraId="0AF26DEB" w14:textId="77777777" w:rsidR="00E30C3D" w:rsidRPr="00D80B38" w:rsidRDefault="00E30C3D" w:rsidP="00E30C3D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t>BILJEŠKE UZ IZVJEŠTAJ BILANCA</w:t>
      </w:r>
    </w:p>
    <w:p w14:paraId="025FC9C5" w14:textId="77DBB697" w:rsidR="00E30C3D" w:rsidRPr="00D80B38" w:rsidRDefault="00E30C3D" w:rsidP="00912F96">
      <w:pPr>
        <w:spacing w:after="0"/>
        <w:rPr>
          <w:rFonts w:ascii="Book Antiqua" w:hAnsi="Book Antiqua" w:cs="Arial"/>
          <w:b/>
          <w:u w:val="single"/>
        </w:rPr>
      </w:pPr>
    </w:p>
    <w:p w14:paraId="42F8AB5A" w14:textId="200DF0B1" w:rsidR="008857F1" w:rsidRPr="00D80B38" w:rsidRDefault="007F51E1" w:rsidP="00912F96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02 – proizvedena dugotrajna imovina</w:t>
      </w:r>
    </w:p>
    <w:p w14:paraId="2418B5EA" w14:textId="1019E86A" w:rsidR="007F51E1" w:rsidRPr="00D80B38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Povećanje se odnosi na imovinu nabavljenu u </w:t>
      </w:r>
      <w:r w:rsidR="005913EA">
        <w:rPr>
          <w:rFonts w:ascii="Book Antiqua" w:hAnsi="Book Antiqua" w:cs="Arial"/>
          <w:bCs/>
        </w:rPr>
        <w:t>2024.</w:t>
      </w:r>
      <w:r w:rsidRPr="00D80B38">
        <w:rPr>
          <w:rFonts w:ascii="Book Antiqua" w:hAnsi="Book Antiqua" w:cs="Arial"/>
          <w:bCs/>
        </w:rPr>
        <w:t xml:space="preserve"> godin</w:t>
      </w:r>
      <w:r w:rsidR="00EF4B27" w:rsidRPr="00D80B38">
        <w:rPr>
          <w:rFonts w:ascii="Book Antiqua" w:hAnsi="Book Antiqua" w:cs="Arial"/>
          <w:bCs/>
        </w:rPr>
        <w:t>i</w:t>
      </w:r>
      <w:r w:rsidRPr="00D80B38">
        <w:rPr>
          <w:rFonts w:ascii="Book Antiqua" w:hAnsi="Book Antiqua" w:cs="Arial"/>
          <w:bCs/>
        </w:rPr>
        <w:t xml:space="preserve">, te na prijenos imovine u pripremi u upotrebu u iznosu od </w:t>
      </w:r>
      <w:r w:rsidR="008D04E4">
        <w:rPr>
          <w:rFonts w:ascii="Book Antiqua" w:hAnsi="Book Antiqua" w:cs="Arial"/>
          <w:bCs/>
        </w:rPr>
        <w:t>3.681</w:t>
      </w:r>
      <w:r w:rsidR="007A197D">
        <w:rPr>
          <w:rFonts w:ascii="Book Antiqua" w:hAnsi="Book Antiqua" w:cs="Arial"/>
          <w:bCs/>
        </w:rPr>
        <w:t>.009,35</w:t>
      </w:r>
      <w:r w:rsidR="004347C5" w:rsidRPr="00D80B38">
        <w:rPr>
          <w:rFonts w:ascii="Book Antiqua" w:hAnsi="Book Antiqua" w:cs="Arial"/>
          <w:bCs/>
        </w:rPr>
        <w:t xml:space="preserve"> EUR, umanjenu za ispravak vrijednosti</w:t>
      </w:r>
    </w:p>
    <w:p w14:paraId="0391E317" w14:textId="77777777" w:rsidR="007F51E1" w:rsidRPr="00D80B38" w:rsidRDefault="007F51E1" w:rsidP="007F51E1">
      <w:pPr>
        <w:pStyle w:val="Odlomakpopisa"/>
        <w:spacing w:after="0"/>
        <w:rPr>
          <w:rFonts w:ascii="Book Antiqua" w:hAnsi="Book Antiqua" w:cs="Arial"/>
          <w:bCs/>
        </w:rPr>
      </w:pPr>
    </w:p>
    <w:p w14:paraId="5FD40D4A" w14:textId="288FF338" w:rsidR="007F51E1" w:rsidRPr="00D80B38" w:rsidRDefault="007F51E1" w:rsidP="007F51E1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05 – dugotrajna nefinancijska imovina u pripremi</w:t>
      </w:r>
    </w:p>
    <w:p w14:paraId="646A10E5" w14:textId="50CA4359" w:rsidR="008857F1" w:rsidRPr="00D80B38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Povećanje se odnosi na imovinu koja se započela realizirati u 202</w:t>
      </w:r>
      <w:r w:rsidR="007A197D">
        <w:rPr>
          <w:rFonts w:ascii="Book Antiqua" w:hAnsi="Book Antiqua" w:cs="Arial"/>
          <w:bCs/>
        </w:rPr>
        <w:t>3</w:t>
      </w:r>
      <w:r w:rsidRPr="00D80B38">
        <w:rPr>
          <w:rFonts w:ascii="Book Antiqua" w:hAnsi="Book Antiqua" w:cs="Arial"/>
          <w:bCs/>
        </w:rPr>
        <w:t>.</w:t>
      </w:r>
      <w:r w:rsidR="004347C5" w:rsidRPr="00D80B38">
        <w:rPr>
          <w:rFonts w:ascii="Book Antiqua" w:hAnsi="Book Antiqua" w:cs="Arial"/>
          <w:bCs/>
        </w:rPr>
        <w:t xml:space="preserve"> i </w:t>
      </w:r>
      <w:r w:rsidR="005913EA">
        <w:rPr>
          <w:rFonts w:ascii="Book Antiqua" w:hAnsi="Book Antiqua" w:cs="Arial"/>
          <w:bCs/>
        </w:rPr>
        <w:t>2024.</w:t>
      </w:r>
      <w:r w:rsidRPr="00D80B38">
        <w:rPr>
          <w:rFonts w:ascii="Book Antiqua" w:hAnsi="Book Antiqua" w:cs="Arial"/>
          <w:bCs/>
        </w:rPr>
        <w:t>, te se očekuje završetak realizacije u 202</w:t>
      </w:r>
      <w:r w:rsidR="007A197D">
        <w:rPr>
          <w:rFonts w:ascii="Book Antiqua" w:hAnsi="Book Antiqua" w:cs="Arial"/>
          <w:bCs/>
        </w:rPr>
        <w:t>5</w:t>
      </w:r>
      <w:r w:rsidRPr="00D80B38">
        <w:rPr>
          <w:rFonts w:ascii="Book Antiqua" w:hAnsi="Book Antiqua" w:cs="Arial"/>
          <w:bCs/>
        </w:rPr>
        <w:t>. godini</w:t>
      </w:r>
    </w:p>
    <w:p w14:paraId="36FD4535" w14:textId="77777777" w:rsidR="007F51E1" w:rsidRPr="00D80B38" w:rsidRDefault="007F51E1" w:rsidP="007F51E1">
      <w:pPr>
        <w:pStyle w:val="Odlomakpopisa"/>
        <w:spacing w:after="0"/>
        <w:rPr>
          <w:rFonts w:ascii="Book Antiqua" w:hAnsi="Book Antiqua" w:cs="Arial"/>
          <w:bCs/>
        </w:rPr>
      </w:pPr>
    </w:p>
    <w:p w14:paraId="559BB4C3" w14:textId="490F55CA" w:rsidR="007F51E1" w:rsidRPr="00D80B38" w:rsidRDefault="007F51E1" w:rsidP="007F51E1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11 – novac na računu i blagajni</w:t>
      </w:r>
    </w:p>
    <w:p w14:paraId="2EB8F189" w14:textId="19E4922C" w:rsidR="007F51E1" w:rsidRPr="00D80B38" w:rsidRDefault="0065106A" w:rsidP="007F51E1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povećanje</w:t>
      </w:r>
      <w:r w:rsidR="007F51E1" w:rsidRPr="00D80B38">
        <w:rPr>
          <w:rFonts w:ascii="Book Antiqua" w:hAnsi="Book Antiqua" w:cs="Arial"/>
          <w:bCs/>
        </w:rPr>
        <w:t xml:space="preserve"> u odnosu na stanje s početka razdoblja se odnosi na </w:t>
      </w:r>
      <w:r w:rsidR="00D53F3E">
        <w:rPr>
          <w:rFonts w:ascii="Book Antiqua" w:hAnsi="Book Antiqua" w:cs="Arial"/>
          <w:bCs/>
        </w:rPr>
        <w:t>priljev</w:t>
      </w:r>
      <w:r w:rsidR="007F51E1" w:rsidRPr="00D80B38">
        <w:rPr>
          <w:rFonts w:ascii="Book Antiqua" w:hAnsi="Book Antiqua" w:cs="Arial"/>
          <w:bCs/>
        </w:rPr>
        <w:t xml:space="preserve"> sredstava </w:t>
      </w:r>
      <w:r w:rsidR="00D53F3E">
        <w:rPr>
          <w:rFonts w:ascii="Book Antiqua" w:hAnsi="Book Antiqua" w:cs="Arial"/>
          <w:bCs/>
        </w:rPr>
        <w:t>n</w:t>
      </w:r>
      <w:r w:rsidR="007F51E1" w:rsidRPr="00D80B38">
        <w:rPr>
          <w:rFonts w:ascii="Book Antiqua" w:hAnsi="Book Antiqua" w:cs="Arial"/>
          <w:bCs/>
        </w:rPr>
        <w:t xml:space="preserve">a račun </w:t>
      </w:r>
      <w:r w:rsidR="00D53F3E">
        <w:rPr>
          <w:rFonts w:ascii="Book Antiqua" w:hAnsi="Book Antiqua" w:cs="Arial"/>
          <w:bCs/>
        </w:rPr>
        <w:t>od kapitalnih pomoći iz državnog proračuna temeljem prijenosa EU sredstava.</w:t>
      </w:r>
    </w:p>
    <w:p w14:paraId="10034392" w14:textId="12FC65CC" w:rsidR="007F51E1" w:rsidRPr="00D80B38" w:rsidRDefault="007F51E1" w:rsidP="007F51E1">
      <w:pPr>
        <w:spacing w:after="0"/>
        <w:rPr>
          <w:rFonts w:ascii="Book Antiqua" w:hAnsi="Book Antiqua" w:cs="Arial"/>
          <w:bCs/>
        </w:rPr>
      </w:pPr>
    </w:p>
    <w:p w14:paraId="0FD3F033" w14:textId="795B764F" w:rsidR="007F51E1" w:rsidRPr="00D80B38" w:rsidRDefault="007F51E1" w:rsidP="007F51E1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 xml:space="preserve">12 – depoziti, </w:t>
      </w:r>
      <w:proofErr w:type="spellStart"/>
      <w:r w:rsidRPr="00D80B38">
        <w:rPr>
          <w:rFonts w:ascii="Book Antiqua" w:hAnsi="Book Antiqua" w:cs="Arial"/>
          <w:b/>
        </w:rPr>
        <w:t>jamčevni</w:t>
      </w:r>
      <w:proofErr w:type="spellEnd"/>
      <w:r w:rsidRPr="00D80B38">
        <w:rPr>
          <w:rFonts w:ascii="Book Antiqua" w:hAnsi="Book Antiqua" w:cs="Arial"/>
          <w:b/>
        </w:rPr>
        <w:t xml:space="preserve"> </w:t>
      </w:r>
      <w:proofErr w:type="spellStart"/>
      <w:r w:rsidRPr="00D80B38">
        <w:rPr>
          <w:rFonts w:ascii="Book Antiqua" w:hAnsi="Book Antiqua" w:cs="Arial"/>
          <w:b/>
        </w:rPr>
        <w:t>polozi</w:t>
      </w:r>
      <w:proofErr w:type="spellEnd"/>
      <w:r w:rsidRPr="00D80B38">
        <w:rPr>
          <w:rFonts w:ascii="Book Antiqua" w:hAnsi="Book Antiqua" w:cs="Arial"/>
          <w:b/>
        </w:rPr>
        <w:t xml:space="preserve"> i dr.</w:t>
      </w:r>
    </w:p>
    <w:p w14:paraId="68EE915E" w14:textId="3774219D" w:rsidR="007F51E1" w:rsidRPr="00D80B38" w:rsidRDefault="007F51E1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Iznos se odnosi na plaćeni predujam</w:t>
      </w:r>
      <w:r w:rsidR="00105CFD" w:rsidRPr="00D80B38">
        <w:rPr>
          <w:rFonts w:ascii="Book Antiqua" w:hAnsi="Book Antiqua" w:cs="Arial"/>
          <w:bCs/>
        </w:rPr>
        <w:t xml:space="preserve"> za rashode koji će nastati u 202</w:t>
      </w:r>
      <w:r w:rsidR="00B127F0">
        <w:rPr>
          <w:rFonts w:ascii="Book Antiqua" w:hAnsi="Book Antiqua" w:cs="Arial"/>
          <w:bCs/>
        </w:rPr>
        <w:t>5</w:t>
      </w:r>
      <w:r w:rsidR="00105CFD" w:rsidRPr="00D80B38">
        <w:rPr>
          <w:rFonts w:ascii="Book Antiqua" w:hAnsi="Book Antiqua" w:cs="Arial"/>
          <w:bCs/>
        </w:rPr>
        <w:t>. godini. (129 – ostala potraživanja)</w:t>
      </w:r>
    </w:p>
    <w:p w14:paraId="21FC2C37" w14:textId="50B88C05" w:rsidR="00105CFD" w:rsidRPr="00D80B38" w:rsidRDefault="00105CFD" w:rsidP="00105CFD">
      <w:pPr>
        <w:spacing w:after="0"/>
        <w:jc w:val="both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lastRenderedPageBreak/>
        <w:t>13 – potraživanja za dane zajmove</w:t>
      </w:r>
    </w:p>
    <w:p w14:paraId="236028F9" w14:textId="6B4E7EEF" w:rsidR="00105CFD" w:rsidRPr="00D80B38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Na 31.12.</w:t>
      </w:r>
      <w:r w:rsidR="005913EA">
        <w:rPr>
          <w:rFonts w:ascii="Book Antiqua" w:hAnsi="Book Antiqua" w:cs="Arial"/>
          <w:bCs/>
        </w:rPr>
        <w:t>2024.</w:t>
      </w:r>
      <w:r w:rsidRPr="00D80B38">
        <w:rPr>
          <w:rFonts w:ascii="Book Antiqua" w:hAnsi="Book Antiqua" w:cs="Arial"/>
          <w:bCs/>
        </w:rPr>
        <w:t xml:space="preserve"> nema potraživanja za dane zajmove, te su dani zajmovi iz prethodnog razdoblja u cijelosti vraćeni</w:t>
      </w:r>
    </w:p>
    <w:p w14:paraId="61B030F7" w14:textId="77777777" w:rsidR="00105CFD" w:rsidRPr="00D80B38" w:rsidRDefault="00105CFD" w:rsidP="00105CFD">
      <w:pPr>
        <w:pStyle w:val="Odlomakpopisa"/>
        <w:spacing w:after="0"/>
        <w:jc w:val="both"/>
        <w:rPr>
          <w:rFonts w:ascii="Book Antiqua" w:hAnsi="Book Antiqua" w:cs="Arial"/>
          <w:bCs/>
        </w:rPr>
      </w:pPr>
    </w:p>
    <w:p w14:paraId="38194817" w14:textId="627872A7" w:rsidR="00105CFD" w:rsidRPr="00D80B38" w:rsidRDefault="00105CFD" w:rsidP="00105CFD">
      <w:pPr>
        <w:spacing w:after="0"/>
        <w:jc w:val="both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15 – dionice i udjeli u glavnici</w:t>
      </w:r>
    </w:p>
    <w:p w14:paraId="7DE43CE4" w14:textId="6CBC6439" w:rsidR="00105CFD" w:rsidRPr="00D80B38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Iznos vlasničkih udjela u trgovačkim društvima u kojima Općina </w:t>
      </w:r>
      <w:r w:rsidR="00D80B38" w:rsidRPr="00D80B38">
        <w:rPr>
          <w:rFonts w:ascii="Book Antiqua" w:hAnsi="Book Antiqua" w:cs="Arial"/>
          <w:bCs/>
        </w:rPr>
        <w:t>Podcrkavlje</w:t>
      </w:r>
      <w:r w:rsidRPr="00D80B38">
        <w:rPr>
          <w:rFonts w:ascii="Book Antiqua" w:hAnsi="Book Antiqua" w:cs="Arial"/>
          <w:bCs/>
        </w:rPr>
        <w:t xml:space="preserve"> ima udjele su ostali nepromijenjeni u </w:t>
      </w:r>
      <w:r w:rsidR="005913EA">
        <w:rPr>
          <w:rFonts w:ascii="Book Antiqua" w:hAnsi="Book Antiqua" w:cs="Arial"/>
          <w:bCs/>
        </w:rPr>
        <w:t>2024.</w:t>
      </w:r>
      <w:r w:rsidRPr="00D80B38">
        <w:rPr>
          <w:rFonts w:ascii="Book Antiqua" w:hAnsi="Book Antiqua" w:cs="Arial"/>
          <w:bCs/>
        </w:rPr>
        <w:t xml:space="preserve"> godini.</w:t>
      </w:r>
    </w:p>
    <w:p w14:paraId="3E70135D" w14:textId="77777777" w:rsidR="00105CFD" w:rsidRPr="00D80B38" w:rsidRDefault="00105CFD" w:rsidP="00105CFD">
      <w:pPr>
        <w:pStyle w:val="Odlomakpopisa"/>
        <w:spacing w:after="0"/>
        <w:rPr>
          <w:rFonts w:ascii="Book Antiqua" w:hAnsi="Book Antiqua" w:cs="Arial"/>
          <w:bCs/>
        </w:rPr>
      </w:pPr>
    </w:p>
    <w:p w14:paraId="6401033D" w14:textId="4EE90B1F" w:rsidR="00105CFD" w:rsidRPr="00D80B38" w:rsidRDefault="00105CFD" w:rsidP="00105CFD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16 – Potraživanja za prihode poslovanja</w:t>
      </w:r>
    </w:p>
    <w:p w14:paraId="5BA81F3B" w14:textId="51C5530E" w:rsidR="00105CFD" w:rsidRPr="00D80B38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Iznos se odnosi na potraživanja za zakup poljoprivrednog zemljišta, komunalne i grobne naknade.</w:t>
      </w:r>
    </w:p>
    <w:p w14:paraId="56B0956F" w14:textId="77777777" w:rsidR="00105CFD" w:rsidRPr="00D80B38" w:rsidRDefault="00105CFD" w:rsidP="00105CFD">
      <w:pPr>
        <w:pStyle w:val="Odlomakpopisa"/>
        <w:spacing w:after="0"/>
        <w:rPr>
          <w:rFonts w:ascii="Book Antiqua" w:hAnsi="Book Antiqua" w:cs="Arial"/>
          <w:bCs/>
        </w:rPr>
      </w:pPr>
    </w:p>
    <w:p w14:paraId="3D87D734" w14:textId="4F61B4FD" w:rsidR="00105CFD" w:rsidRPr="00D80B38" w:rsidRDefault="00105CFD" w:rsidP="00105CFD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17 – Potraživanja od prodaje nefinancijske imovine</w:t>
      </w:r>
    </w:p>
    <w:p w14:paraId="42B5F0CC" w14:textId="35490D76" w:rsidR="00105CFD" w:rsidRPr="00242C53" w:rsidRDefault="00242C53" w:rsidP="00A22C23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242C53">
        <w:rPr>
          <w:rFonts w:ascii="Book Antiqua" w:hAnsi="Book Antiqua" w:cs="Arial"/>
          <w:bCs/>
        </w:rPr>
        <w:t>Na 31.12.</w:t>
      </w:r>
      <w:r w:rsidR="005913EA">
        <w:rPr>
          <w:rFonts w:ascii="Book Antiqua" w:hAnsi="Book Antiqua" w:cs="Arial"/>
          <w:bCs/>
        </w:rPr>
        <w:t>2024.</w:t>
      </w:r>
      <w:r w:rsidRPr="00242C53">
        <w:rPr>
          <w:rFonts w:ascii="Book Antiqua" w:hAnsi="Book Antiqua" w:cs="Arial"/>
          <w:bCs/>
        </w:rPr>
        <w:t xml:space="preserve"> nema evidentiranih </w:t>
      </w:r>
      <w:r w:rsidR="00105CFD" w:rsidRPr="00242C53">
        <w:rPr>
          <w:rFonts w:ascii="Book Antiqua" w:hAnsi="Book Antiqua" w:cs="Arial"/>
          <w:bCs/>
        </w:rPr>
        <w:t xml:space="preserve"> potraživanj</w:t>
      </w:r>
      <w:r w:rsidRPr="00242C53">
        <w:rPr>
          <w:rFonts w:ascii="Book Antiqua" w:hAnsi="Book Antiqua" w:cs="Arial"/>
          <w:bCs/>
        </w:rPr>
        <w:t>a</w:t>
      </w:r>
      <w:r w:rsidR="00105CFD" w:rsidRPr="00242C53">
        <w:rPr>
          <w:rFonts w:ascii="Book Antiqua" w:hAnsi="Book Antiqua" w:cs="Arial"/>
          <w:bCs/>
        </w:rPr>
        <w:t xml:space="preserve"> </w:t>
      </w:r>
      <w:r w:rsidRPr="00242C53">
        <w:rPr>
          <w:rFonts w:ascii="Book Antiqua" w:hAnsi="Book Antiqua" w:cs="Arial"/>
        </w:rPr>
        <w:t>od prodaje nefinancijske imovine</w:t>
      </w:r>
    </w:p>
    <w:p w14:paraId="7580F93F" w14:textId="77777777" w:rsidR="00242C53" w:rsidRPr="00242C53" w:rsidRDefault="00242C53" w:rsidP="00242C53">
      <w:pPr>
        <w:pStyle w:val="Odlomakpopisa"/>
        <w:spacing w:after="0"/>
        <w:jc w:val="both"/>
        <w:rPr>
          <w:rFonts w:ascii="Book Antiqua" w:hAnsi="Book Antiqua" w:cs="Arial"/>
          <w:bCs/>
        </w:rPr>
      </w:pPr>
    </w:p>
    <w:p w14:paraId="7BF3B6AE" w14:textId="4B8E35B2" w:rsidR="00105CFD" w:rsidRPr="00D80B38" w:rsidRDefault="00105CFD" w:rsidP="00105CFD">
      <w:pPr>
        <w:spacing w:after="0"/>
        <w:jc w:val="both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23 – obveze za rashode poslovanja</w:t>
      </w:r>
    </w:p>
    <w:p w14:paraId="1704E5B6" w14:textId="4EAA9673" w:rsidR="00105CFD" w:rsidRPr="00D80B38" w:rsidRDefault="00105CFD" w:rsidP="00F66027">
      <w:pPr>
        <w:pStyle w:val="Odlomakpopisa"/>
        <w:numPr>
          <w:ilvl w:val="0"/>
          <w:numId w:val="4"/>
        </w:numPr>
        <w:spacing w:after="0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Iznos se odnosi na obveze za rashode za plaće zaposlenih, materijalne rashode, </w:t>
      </w:r>
      <w:r w:rsidR="00F66027" w:rsidRPr="00D80B38">
        <w:rPr>
          <w:rFonts w:ascii="Book Antiqua" w:hAnsi="Book Antiqua" w:cs="Arial"/>
          <w:bCs/>
        </w:rPr>
        <w:t xml:space="preserve">financijske rashode, te </w:t>
      </w:r>
      <w:r w:rsidRPr="00D80B38">
        <w:rPr>
          <w:rFonts w:ascii="Book Antiqua" w:hAnsi="Book Antiqua" w:cs="Arial"/>
          <w:bCs/>
        </w:rPr>
        <w:t>primljena jamstva</w:t>
      </w:r>
      <w:r w:rsidR="00F66027" w:rsidRPr="00D80B38">
        <w:rPr>
          <w:rFonts w:ascii="Book Antiqua" w:hAnsi="Book Antiqua" w:cs="Arial"/>
          <w:bCs/>
        </w:rPr>
        <w:t>.</w:t>
      </w:r>
    </w:p>
    <w:p w14:paraId="08ABDB0B" w14:textId="77777777" w:rsidR="00AB72FE" w:rsidRPr="00D80B38" w:rsidRDefault="00AB72FE" w:rsidP="00F66027">
      <w:pPr>
        <w:spacing w:after="0"/>
        <w:rPr>
          <w:rFonts w:ascii="Book Antiqua" w:hAnsi="Book Antiqua" w:cs="Arial"/>
          <w:b/>
        </w:rPr>
      </w:pPr>
    </w:p>
    <w:p w14:paraId="0ABF3F3A" w14:textId="02F19348" w:rsidR="00F66027" w:rsidRPr="00D80B38" w:rsidRDefault="00F66027" w:rsidP="00F6602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24 – obveze za nabavu nefinancijske imovine</w:t>
      </w:r>
    </w:p>
    <w:p w14:paraId="603BE15A" w14:textId="798BAB78" w:rsidR="00F66027" w:rsidRPr="00D80B38" w:rsidRDefault="004347C5" w:rsidP="00F66027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>obvez</w:t>
      </w:r>
      <w:r w:rsidR="00610368">
        <w:rPr>
          <w:rFonts w:ascii="Book Antiqua" w:hAnsi="Book Antiqua" w:cs="Arial"/>
          <w:bCs/>
        </w:rPr>
        <w:t>e</w:t>
      </w:r>
      <w:r w:rsidRPr="00D80B38">
        <w:rPr>
          <w:rFonts w:ascii="Book Antiqua" w:hAnsi="Book Antiqua" w:cs="Arial"/>
          <w:bCs/>
        </w:rPr>
        <w:t xml:space="preserve"> z</w:t>
      </w:r>
      <w:r w:rsidR="00F66027" w:rsidRPr="00D80B38">
        <w:rPr>
          <w:rFonts w:ascii="Book Antiqua" w:hAnsi="Book Antiqua" w:cs="Arial"/>
          <w:bCs/>
        </w:rPr>
        <w:t xml:space="preserve">a rashode na nabavu </w:t>
      </w:r>
      <w:r w:rsidRPr="00D80B38">
        <w:rPr>
          <w:rFonts w:ascii="Book Antiqua" w:hAnsi="Book Antiqua" w:cs="Arial"/>
          <w:bCs/>
        </w:rPr>
        <w:t>n</w:t>
      </w:r>
      <w:r w:rsidR="00F66027" w:rsidRPr="00D80B38">
        <w:rPr>
          <w:rFonts w:ascii="Book Antiqua" w:hAnsi="Book Antiqua" w:cs="Arial"/>
          <w:bCs/>
        </w:rPr>
        <w:t>efinancijske imovine</w:t>
      </w:r>
      <w:r w:rsidR="00610368">
        <w:rPr>
          <w:rFonts w:ascii="Book Antiqua" w:hAnsi="Book Antiqua" w:cs="Arial"/>
          <w:bCs/>
        </w:rPr>
        <w:t xml:space="preserve">, bilježe </w:t>
      </w:r>
      <w:r w:rsidR="00B127F0">
        <w:rPr>
          <w:rFonts w:ascii="Book Antiqua" w:hAnsi="Book Antiqua" w:cs="Arial"/>
          <w:bCs/>
        </w:rPr>
        <w:t>povećanje</w:t>
      </w:r>
      <w:r w:rsidR="00610368">
        <w:rPr>
          <w:rFonts w:ascii="Book Antiqua" w:hAnsi="Book Antiqua" w:cs="Arial"/>
          <w:bCs/>
        </w:rPr>
        <w:t xml:space="preserve"> u odnosu na 202</w:t>
      </w:r>
      <w:r w:rsidR="00B127F0">
        <w:rPr>
          <w:rFonts w:ascii="Book Antiqua" w:hAnsi="Book Antiqua" w:cs="Arial"/>
          <w:bCs/>
        </w:rPr>
        <w:t>3</w:t>
      </w:r>
      <w:r w:rsidR="00610368">
        <w:rPr>
          <w:rFonts w:ascii="Book Antiqua" w:hAnsi="Book Antiqua" w:cs="Arial"/>
          <w:bCs/>
        </w:rPr>
        <w:t xml:space="preserve">. a odnose se na nabavu nefinancijske imovine za </w:t>
      </w:r>
      <w:r w:rsidR="00C7256C">
        <w:rPr>
          <w:rFonts w:ascii="Book Antiqua" w:hAnsi="Book Antiqua" w:cs="Arial"/>
          <w:bCs/>
        </w:rPr>
        <w:t>građevinske</w:t>
      </w:r>
      <w:r w:rsidR="00610368">
        <w:rPr>
          <w:rFonts w:ascii="Book Antiqua" w:hAnsi="Book Antiqua" w:cs="Arial"/>
          <w:bCs/>
        </w:rPr>
        <w:t xml:space="preserve"> objekte.</w:t>
      </w:r>
    </w:p>
    <w:p w14:paraId="0960265C" w14:textId="6E25B983" w:rsidR="00F66027" w:rsidRPr="00D80B38" w:rsidRDefault="00F66027" w:rsidP="00F66027">
      <w:pPr>
        <w:spacing w:after="0"/>
        <w:rPr>
          <w:rFonts w:ascii="Book Antiqua" w:hAnsi="Book Antiqua" w:cs="Arial"/>
          <w:bCs/>
        </w:rPr>
      </w:pPr>
    </w:p>
    <w:p w14:paraId="384AC69C" w14:textId="6C180E7B" w:rsidR="00F66027" w:rsidRPr="00D80B38" w:rsidRDefault="00F66027" w:rsidP="00F66027">
      <w:pPr>
        <w:spacing w:after="0"/>
        <w:rPr>
          <w:rFonts w:ascii="Book Antiqua" w:hAnsi="Book Antiqua" w:cs="Arial"/>
          <w:b/>
        </w:rPr>
      </w:pPr>
      <w:r w:rsidRPr="00D80B38">
        <w:rPr>
          <w:rFonts w:ascii="Book Antiqua" w:hAnsi="Book Antiqua" w:cs="Arial"/>
          <w:b/>
        </w:rPr>
        <w:t>26 – obveze za kredite i zajmove</w:t>
      </w:r>
    </w:p>
    <w:p w14:paraId="65199452" w14:textId="592143F8" w:rsidR="00F66027" w:rsidRPr="00610368" w:rsidRDefault="00610368" w:rsidP="007E397C">
      <w:pPr>
        <w:pStyle w:val="Odlomakpopisa"/>
        <w:numPr>
          <w:ilvl w:val="0"/>
          <w:numId w:val="4"/>
        </w:numPr>
        <w:spacing w:after="0"/>
        <w:rPr>
          <w:rFonts w:ascii="Book Antiqua" w:hAnsi="Book Antiqua" w:cs="Arial"/>
          <w:bCs/>
        </w:rPr>
      </w:pPr>
      <w:r w:rsidRPr="00610368">
        <w:rPr>
          <w:rFonts w:ascii="Book Antiqua" w:hAnsi="Book Antiqua" w:cs="Arial"/>
          <w:bCs/>
        </w:rPr>
        <w:t>Iznos se odnosi na</w:t>
      </w:r>
      <w:r w:rsidRPr="00610368">
        <w:rPr>
          <w:rFonts w:ascii="Times New Roman" w:hAnsi="Times New Roman" w:cs="Times New Roman"/>
          <w:szCs w:val="24"/>
        </w:rPr>
        <w:t xml:space="preserve"> obveze za kredite od tuzemnih kreditnih institucija izvan javnog sektora </w:t>
      </w:r>
      <w:r>
        <w:rPr>
          <w:rFonts w:ascii="Times New Roman" w:hAnsi="Times New Roman" w:cs="Times New Roman"/>
          <w:szCs w:val="24"/>
        </w:rPr>
        <w:t xml:space="preserve">i </w:t>
      </w:r>
      <w:r w:rsidR="00F66027" w:rsidRPr="00610368">
        <w:rPr>
          <w:rFonts w:ascii="Book Antiqua" w:hAnsi="Book Antiqua" w:cs="Arial"/>
          <w:bCs/>
        </w:rPr>
        <w:t>primljeni zajam iz državnog proračuna za povrat poreza na dohodak</w:t>
      </w:r>
      <w:r>
        <w:rPr>
          <w:rFonts w:ascii="Book Antiqua" w:hAnsi="Book Antiqua" w:cs="Arial"/>
          <w:bCs/>
        </w:rPr>
        <w:t>.</w:t>
      </w:r>
    </w:p>
    <w:p w14:paraId="52CE5185" w14:textId="77777777" w:rsidR="00610368" w:rsidRPr="00610368" w:rsidRDefault="00610368" w:rsidP="00610368">
      <w:pPr>
        <w:pStyle w:val="Odlomakpopisa"/>
        <w:spacing w:after="0"/>
        <w:rPr>
          <w:rFonts w:ascii="Book Antiqua" w:hAnsi="Book Antiqua" w:cs="Arial"/>
          <w:bCs/>
        </w:rPr>
      </w:pPr>
    </w:p>
    <w:p w14:paraId="47C5D112" w14:textId="578C8636" w:rsidR="00E30C3D" w:rsidRPr="00D80B38" w:rsidRDefault="00E30C3D" w:rsidP="00E30C3D">
      <w:pPr>
        <w:pStyle w:val="Odlomakpopisa"/>
        <w:numPr>
          <w:ilvl w:val="0"/>
          <w:numId w:val="2"/>
        </w:numPr>
        <w:spacing w:after="0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t>Popis ugovornih odnosa i slično koji uz ispunjenje određenih uvjeta mogu postati obveza ili imovina (dana kreditna pisma, hipoteke i sl.)</w:t>
      </w:r>
    </w:p>
    <w:p w14:paraId="4505B4A9" w14:textId="77777777" w:rsidR="00E30C3D" w:rsidRPr="00D80B38" w:rsidRDefault="00E30C3D" w:rsidP="00E30C3D">
      <w:pPr>
        <w:spacing w:after="0"/>
        <w:rPr>
          <w:rFonts w:ascii="Book Antiqua" w:hAnsi="Book Antiqua" w:cs="Arial"/>
          <w:b/>
          <w:u w:val="single"/>
        </w:rPr>
      </w:pPr>
    </w:p>
    <w:p w14:paraId="461079DE" w14:textId="66D777BE" w:rsidR="00E30C3D" w:rsidRDefault="008100F6" w:rsidP="008100F6">
      <w:pPr>
        <w:spacing w:after="0"/>
        <w:ind w:firstLine="708"/>
        <w:jc w:val="both"/>
        <w:rPr>
          <w:rFonts w:ascii="Book Antiqua" w:hAnsi="Book Antiqua" w:cs="Arial"/>
        </w:rPr>
      </w:pPr>
      <w:r w:rsidRPr="008100F6">
        <w:rPr>
          <w:rFonts w:ascii="Book Antiqua" w:hAnsi="Book Antiqua" w:cs="Arial"/>
        </w:rPr>
        <w:t xml:space="preserve">Prema podacima Jedinstvenog upravnog odjela, koji vodi evidenciju </w:t>
      </w:r>
      <w:r w:rsidR="009422FB">
        <w:rPr>
          <w:rFonts w:ascii="Book Antiqua" w:hAnsi="Book Antiqua" w:cs="Arial"/>
        </w:rPr>
        <w:t xml:space="preserve">   </w:t>
      </w:r>
      <w:r w:rsidRPr="008100F6">
        <w:rPr>
          <w:rFonts w:ascii="Book Antiqua" w:hAnsi="Book Antiqua" w:cs="Arial"/>
        </w:rPr>
        <w:t>ugovorenih odnosa i</w:t>
      </w:r>
      <w:r>
        <w:rPr>
          <w:rFonts w:ascii="Book Antiqua" w:hAnsi="Book Antiqua" w:cs="Arial"/>
        </w:rPr>
        <w:t xml:space="preserve"> </w:t>
      </w:r>
      <w:r w:rsidRPr="008100F6">
        <w:rPr>
          <w:rFonts w:ascii="Book Antiqua" w:hAnsi="Book Antiqua" w:cs="Arial"/>
        </w:rPr>
        <w:t>slično, ima evidenti</w:t>
      </w:r>
      <w:r w:rsidR="009422FB">
        <w:rPr>
          <w:rFonts w:ascii="Book Antiqua" w:hAnsi="Book Antiqua" w:cs="Arial"/>
        </w:rPr>
        <w:t>r</w:t>
      </w:r>
      <w:r w:rsidRPr="008100F6">
        <w:rPr>
          <w:rFonts w:ascii="Book Antiqua" w:hAnsi="Book Antiqua" w:cs="Arial"/>
        </w:rPr>
        <w:t>anih ugovorenih odnosa koji uz ispunjenje odre</w:t>
      </w:r>
      <w:r w:rsidR="009422FB">
        <w:rPr>
          <w:rFonts w:ascii="Book Antiqua" w:hAnsi="Book Antiqua" w:cs="Arial"/>
        </w:rPr>
        <w:t>đ</w:t>
      </w:r>
      <w:r w:rsidRPr="008100F6">
        <w:rPr>
          <w:rFonts w:ascii="Book Antiqua" w:hAnsi="Book Antiqua" w:cs="Arial"/>
        </w:rPr>
        <w:t>enih</w:t>
      </w:r>
      <w:r w:rsidR="009422FB">
        <w:rPr>
          <w:rFonts w:ascii="Book Antiqua" w:hAnsi="Book Antiqua" w:cs="Arial"/>
        </w:rPr>
        <w:t xml:space="preserve"> uvjeta</w:t>
      </w:r>
      <w:r w:rsidRPr="008100F6">
        <w:rPr>
          <w:rFonts w:ascii="Book Antiqua" w:hAnsi="Book Antiqua" w:cs="Arial"/>
        </w:rPr>
        <w:t>, mogu postati obveza ili imovina. Ugovor se</w:t>
      </w:r>
      <w:r w:rsidR="009422FB">
        <w:rPr>
          <w:rFonts w:ascii="Book Antiqua" w:hAnsi="Book Antiqua" w:cs="Arial"/>
        </w:rPr>
        <w:t xml:space="preserve"> </w:t>
      </w:r>
      <w:r w:rsidRPr="008100F6">
        <w:rPr>
          <w:rFonts w:ascii="Book Antiqua" w:hAnsi="Book Antiqua" w:cs="Arial"/>
        </w:rPr>
        <w:t>odnosi na osnivanje prava gra</w:t>
      </w:r>
      <w:r w:rsidR="009422FB">
        <w:rPr>
          <w:rFonts w:ascii="Book Antiqua" w:hAnsi="Book Antiqua" w:cs="Arial"/>
        </w:rPr>
        <w:t>đ</w:t>
      </w:r>
      <w:r w:rsidRPr="008100F6">
        <w:rPr>
          <w:rFonts w:ascii="Book Antiqua" w:hAnsi="Book Antiqua" w:cs="Arial"/>
        </w:rPr>
        <w:t xml:space="preserve">enja </w:t>
      </w:r>
      <w:r w:rsidR="009422FB">
        <w:rPr>
          <w:rFonts w:ascii="Book Antiqua" w:hAnsi="Book Antiqua" w:cs="Arial"/>
        </w:rPr>
        <w:t>z</w:t>
      </w:r>
      <w:r w:rsidRPr="008100F6">
        <w:rPr>
          <w:rFonts w:ascii="Book Antiqua" w:hAnsi="Book Antiqua" w:cs="Arial"/>
        </w:rPr>
        <w:t>aključen s Dobrovoljnim vatrogasnim društvom</w:t>
      </w:r>
      <w:r w:rsidR="009422FB">
        <w:rPr>
          <w:rFonts w:ascii="Book Antiqua" w:hAnsi="Book Antiqua" w:cs="Arial"/>
        </w:rPr>
        <w:t xml:space="preserve"> </w:t>
      </w:r>
      <w:r w:rsidRPr="008100F6">
        <w:rPr>
          <w:rFonts w:ascii="Book Antiqua" w:hAnsi="Book Antiqua" w:cs="Arial"/>
        </w:rPr>
        <w:t>Podcrkavlje dana 25.07.2018. KLASA: 361-01/16-01/4, URBROJ: 2178</w:t>
      </w:r>
      <w:r w:rsidR="009422FB">
        <w:rPr>
          <w:rFonts w:ascii="Book Antiqua" w:hAnsi="Book Antiqua" w:cs="Arial"/>
        </w:rPr>
        <w:t>/1</w:t>
      </w:r>
      <w:r w:rsidRPr="008100F6">
        <w:rPr>
          <w:rFonts w:ascii="Book Antiqua" w:hAnsi="Book Antiqua" w:cs="Arial"/>
        </w:rPr>
        <w:t>3-02-18-91</w:t>
      </w:r>
    </w:p>
    <w:p w14:paraId="3EF75730" w14:textId="77777777" w:rsidR="009422FB" w:rsidRPr="00D80B38" w:rsidRDefault="009422FB" w:rsidP="008100F6">
      <w:pPr>
        <w:spacing w:after="0"/>
        <w:ind w:firstLine="708"/>
        <w:jc w:val="both"/>
        <w:rPr>
          <w:rFonts w:ascii="Book Antiqua" w:hAnsi="Book Antiqua" w:cs="Arial"/>
        </w:rPr>
      </w:pPr>
    </w:p>
    <w:p w14:paraId="48182854" w14:textId="2730B628" w:rsidR="00E30C3D" w:rsidRPr="00D80B38" w:rsidRDefault="00E30C3D" w:rsidP="00E30C3D">
      <w:pPr>
        <w:pStyle w:val="Odlomakpopisa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  <w:u w:val="single"/>
        </w:rPr>
      </w:pPr>
      <w:r w:rsidRPr="00D80B38">
        <w:rPr>
          <w:rFonts w:ascii="Book Antiqua" w:hAnsi="Book Antiqua" w:cs="Arial"/>
          <w:b/>
          <w:bCs/>
          <w:u w:val="single"/>
        </w:rPr>
        <w:t>Popis sudskih sporova u tijeku</w:t>
      </w:r>
    </w:p>
    <w:p w14:paraId="4AB3BCCC" w14:textId="13366C98" w:rsidR="00E30C3D" w:rsidRPr="00D80B38" w:rsidRDefault="00E30C3D" w:rsidP="00E30C3D">
      <w:pPr>
        <w:spacing w:after="0"/>
        <w:ind w:firstLine="708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Općina </w:t>
      </w:r>
      <w:r w:rsidR="00D80B38" w:rsidRPr="00D80B38">
        <w:rPr>
          <w:rFonts w:ascii="Book Antiqua" w:hAnsi="Book Antiqua" w:cs="Arial"/>
        </w:rPr>
        <w:t>Podcrkavlje</w:t>
      </w:r>
      <w:r w:rsidRPr="00D80B38">
        <w:rPr>
          <w:rFonts w:ascii="Book Antiqua" w:hAnsi="Book Antiqua" w:cs="Arial"/>
        </w:rPr>
        <w:t xml:space="preserve"> </w:t>
      </w:r>
      <w:r w:rsidR="009422FB">
        <w:rPr>
          <w:rFonts w:ascii="Book Antiqua" w:hAnsi="Book Antiqua" w:cs="Arial"/>
        </w:rPr>
        <w:t>ne</w:t>
      </w:r>
      <w:r w:rsidRPr="00D80B38">
        <w:rPr>
          <w:rFonts w:ascii="Book Antiqua" w:hAnsi="Book Antiqua" w:cs="Arial"/>
        </w:rPr>
        <w:t>ma sudskih sporova koji bi u budućim obračunskim razdobljima mogli postati prihod ili rashod u procijenjenoj vrijednosti</w:t>
      </w:r>
      <w:r w:rsidR="009422FB">
        <w:rPr>
          <w:rFonts w:ascii="Book Antiqua" w:hAnsi="Book Antiqua" w:cs="Arial"/>
        </w:rPr>
        <w:t>.</w:t>
      </w:r>
    </w:p>
    <w:p w14:paraId="07197B49" w14:textId="14511AA8" w:rsidR="00E30C3D" w:rsidRPr="00D80B38" w:rsidRDefault="00E30C3D" w:rsidP="00E30C3D">
      <w:pPr>
        <w:spacing w:after="0"/>
        <w:jc w:val="both"/>
        <w:rPr>
          <w:rFonts w:ascii="Book Antiqua" w:hAnsi="Book Antiqua" w:cs="Arial"/>
        </w:rPr>
      </w:pPr>
    </w:p>
    <w:p w14:paraId="336CA69B" w14:textId="40531D43" w:rsidR="004347C5" w:rsidRPr="00D80B38" w:rsidRDefault="004347C5" w:rsidP="004347C5">
      <w:pPr>
        <w:pStyle w:val="Odlomakpopisa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  <w:u w:val="single"/>
        </w:rPr>
      </w:pPr>
      <w:r w:rsidRPr="00D80B38">
        <w:rPr>
          <w:rFonts w:ascii="Book Antiqua" w:hAnsi="Book Antiqua" w:cs="Arial"/>
          <w:b/>
          <w:bCs/>
          <w:u w:val="single"/>
        </w:rPr>
        <w:lastRenderedPageBreak/>
        <w:t>Popis primljenih i danih jamstava</w:t>
      </w:r>
    </w:p>
    <w:p w14:paraId="316F863E" w14:textId="77777777" w:rsidR="00E30C3D" w:rsidRPr="00D80B38" w:rsidRDefault="00E30C3D" w:rsidP="00A74F5D">
      <w:pPr>
        <w:spacing w:after="0"/>
        <w:jc w:val="both"/>
        <w:rPr>
          <w:rFonts w:ascii="Book Antiqua" w:hAnsi="Book Antiqua" w:cs="Arial"/>
          <w:bCs/>
        </w:rPr>
      </w:pPr>
    </w:p>
    <w:p w14:paraId="5B4CB358" w14:textId="41E34427" w:rsidR="00E30C3D" w:rsidRPr="00D80B38" w:rsidRDefault="004347C5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Općina </w:t>
      </w:r>
      <w:r w:rsidR="00D80B38" w:rsidRPr="00D80B38">
        <w:rPr>
          <w:rFonts w:ascii="Book Antiqua" w:hAnsi="Book Antiqua" w:cs="Arial"/>
          <w:bCs/>
        </w:rPr>
        <w:t>Podcrkavlje</w:t>
      </w:r>
      <w:r w:rsidRPr="00D80B38">
        <w:rPr>
          <w:rFonts w:ascii="Book Antiqua" w:hAnsi="Book Antiqua" w:cs="Arial"/>
          <w:bCs/>
        </w:rPr>
        <w:t xml:space="preserve"> ima </w:t>
      </w:r>
      <w:r w:rsidR="00A74F5D" w:rsidRPr="00D80B38">
        <w:rPr>
          <w:rFonts w:ascii="Book Antiqua" w:hAnsi="Book Antiqua" w:cs="Arial"/>
          <w:bCs/>
        </w:rPr>
        <w:t xml:space="preserve">evidentiranih danih jamstava u iznosu od </w:t>
      </w:r>
      <w:r w:rsidR="00C7256C">
        <w:rPr>
          <w:rFonts w:ascii="Book Antiqua" w:hAnsi="Book Antiqua" w:cs="Arial"/>
          <w:bCs/>
        </w:rPr>
        <w:t>2.108.219,98</w:t>
      </w:r>
      <w:r w:rsidR="00A74F5D" w:rsidRPr="00D80B38">
        <w:rPr>
          <w:rFonts w:ascii="Book Antiqua" w:hAnsi="Book Antiqua" w:cs="Arial"/>
          <w:bCs/>
        </w:rPr>
        <w:t xml:space="preserve"> EUR kroz izdane bjanko zadužnice kao jamstvo kod Ministarstva regionalnoga razvoja i fondova EU </w:t>
      </w:r>
      <w:r w:rsidR="00FD4376">
        <w:rPr>
          <w:rFonts w:ascii="Book Antiqua" w:hAnsi="Book Antiqua" w:cs="Arial"/>
          <w:bCs/>
        </w:rPr>
        <w:t xml:space="preserve">te Središnjeg državnog ureda za demografiju i mlade </w:t>
      </w:r>
      <w:r w:rsidR="00A74F5D" w:rsidRPr="00D80B38">
        <w:rPr>
          <w:rFonts w:ascii="Book Antiqua" w:hAnsi="Book Antiqua" w:cs="Arial"/>
          <w:bCs/>
        </w:rPr>
        <w:t>za urednu provedbu potpisanih ugovora za sufinanciranje projekta.</w:t>
      </w:r>
    </w:p>
    <w:p w14:paraId="53A293D2" w14:textId="77777777" w:rsidR="00A74F5D" w:rsidRPr="00D80B38" w:rsidRDefault="00A74F5D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</w:p>
    <w:p w14:paraId="6E1386AE" w14:textId="73737779" w:rsidR="00A74F5D" w:rsidRPr="00D80B38" w:rsidRDefault="00A74F5D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  <w:r w:rsidRPr="00D80B38">
        <w:rPr>
          <w:rFonts w:ascii="Book Antiqua" w:hAnsi="Book Antiqua" w:cs="Arial"/>
          <w:bCs/>
        </w:rPr>
        <w:t xml:space="preserve">Općina </w:t>
      </w:r>
      <w:r w:rsidR="00D80B38" w:rsidRPr="00D80B38">
        <w:rPr>
          <w:rFonts w:ascii="Book Antiqua" w:hAnsi="Book Antiqua" w:cs="Arial"/>
          <w:bCs/>
        </w:rPr>
        <w:t>Podcrkavlje</w:t>
      </w:r>
      <w:r w:rsidRPr="00D80B38">
        <w:rPr>
          <w:rFonts w:ascii="Book Antiqua" w:hAnsi="Book Antiqua" w:cs="Arial"/>
          <w:bCs/>
        </w:rPr>
        <w:t xml:space="preserve"> ima evidentiranih primljenih jamstava u iznosu od </w:t>
      </w:r>
      <w:r w:rsidR="00C7256C">
        <w:rPr>
          <w:rFonts w:ascii="Book Antiqua" w:hAnsi="Book Antiqua" w:cs="Arial"/>
          <w:bCs/>
        </w:rPr>
        <w:t>232.532,95</w:t>
      </w:r>
      <w:r w:rsidRPr="00D80B38">
        <w:rPr>
          <w:rFonts w:ascii="Book Antiqua" w:hAnsi="Book Antiqua" w:cs="Arial"/>
          <w:bCs/>
        </w:rPr>
        <w:t xml:space="preserve"> EUR kroz bjanko zadužnice, te bankovne garancije. Iste su zaprimljene u svrhu postupka javne nabave, te kao jamstvo izvedene radove.</w:t>
      </w:r>
    </w:p>
    <w:p w14:paraId="1833CC74" w14:textId="77777777" w:rsidR="00A74F5D" w:rsidRPr="00D80B38" w:rsidRDefault="00A74F5D" w:rsidP="00A74F5D">
      <w:pPr>
        <w:spacing w:after="0"/>
        <w:ind w:left="708"/>
        <w:jc w:val="both"/>
        <w:rPr>
          <w:rFonts w:ascii="Book Antiqua" w:hAnsi="Book Antiqua" w:cs="Arial"/>
          <w:bCs/>
        </w:rPr>
      </w:pPr>
    </w:p>
    <w:p w14:paraId="3072E30D" w14:textId="4E1B778F" w:rsidR="00E30C3D" w:rsidRPr="00D80B38" w:rsidRDefault="00E30C3D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14:paraId="638F49A0" w14:textId="0B08724B" w:rsidR="008159BA" w:rsidRPr="00D80B38" w:rsidRDefault="008159BA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14:paraId="723353F1" w14:textId="427D261D" w:rsidR="00612602" w:rsidRPr="00D80B38" w:rsidRDefault="00912F96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t xml:space="preserve">BILJEŠKE UZ </w:t>
      </w:r>
      <w:r w:rsidR="00612602" w:rsidRPr="00D80B38">
        <w:rPr>
          <w:rFonts w:ascii="Book Antiqua" w:hAnsi="Book Antiqua" w:cs="Arial"/>
          <w:b/>
          <w:u w:val="single"/>
        </w:rPr>
        <w:t>OBRAZAC PR-RAS</w:t>
      </w:r>
    </w:p>
    <w:p w14:paraId="36282D60" w14:textId="77777777" w:rsidR="00FC154D" w:rsidRPr="00D80B38" w:rsidRDefault="00FC154D" w:rsidP="00912F96">
      <w:pPr>
        <w:spacing w:after="0"/>
        <w:rPr>
          <w:rFonts w:ascii="Book Antiqua" w:hAnsi="Book Antiqua" w:cs="Arial"/>
          <w:b/>
        </w:rPr>
      </w:pPr>
    </w:p>
    <w:p w14:paraId="2D91A79C" w14:textId="399BF843" w:rsidR="00942C1A" w:rsidRPr="00D80B38" w:rsidRDefault="004A480C" w:rsidP="00942C1A">
      <w:pPr>
        <w:spacing w:after="0"/>
        <w:rPr>
          <w:rFonts w:ascii="Book Antiqua" w:hAnsi="Book Antiqua" w:cs="Arial"/>
          <w:b/>
          <w:i/>
          <w:iCs/>
          <w:u w:val="single"/>
        </w:rPr>
      </w:pPr>
      <w:r w:rsidRPr="00D80B38">
        <w:rPr>
          <w:rFonts w:ascii="Book Antiqua" w:hAnsi="Book Antiqua" w:cs="Arial"/>
          <w:b/>
          <w:i/>
          <w:iCs/>
          <w:u w:val="single"/>
        </w:rPr>
        <w:t>PRIHODI</w:t>
      </w:r>
    </w:p>
    <w:p w14:paraId="2743DDA0" w14:textId="77777777" w:rsidR="004A480C" w:rsidRPr="00D80B38" w:rsidRDefault="004A480C" w:rsidP="00942C1A">
      <w:pPr>
        <w:spacing w:after="0"/>
        <w:rPr>
          <w:rFonts w:ascii="Book Antiqua" w:hAnsi="Book Antiqua" w:cs="Arial"/>
          <w:b/>
        </w:rPr>
      </w:pPr>
    </w:p>
    <w:p w14:paraId="4F62238D" w14:textId="5BC584FD" w:rsidR="0085391D" w:rsidRPr="00D80B38" w:rsidRDefault="0085391D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611 Porez i prirez na dohodak</w:t>
      </w:r>
    </w:p>
    <w:p w14:paraId="438BD1F9" w14:textId="5FDC07DD" w:rsidR="0085391D" w:rsidRPr="00D80B38" w:rsidRDefault="0085391D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je</w:t>
      </w:r>
      <w:r w:rsidR="001D1A69" w:rsidRPr="00D80B38">
        <w:rPr>
          <w:rFonts w:ascii="Book Antiqua" w:hAnsi="Book Antiqua" w:cs="Arial"/>
        </w:rPr>
        <w:t xml:space="preserve"> </w:t>
      </w:r>
      <w:r w:rsidR="00AF48CF" w:rsidRPr="00D80B38">
        <w:rPr>
          <w:rFonts w:ascii="Book Antiqua" w:hAnsi="Book Antiqua" w:cs="Arial"/>
        </w:rPr>
        <w:t>veći</w:t>
      </w:r>
      <w:r w:rsidRPr="00D80B38">
        <w:rPr>
          <w:rFonts w:ascii="Book Antiqua" w:hAnsi="Book Antiqua" w:cs="Arial"/>
        </w:rPr>
        <w:t xml:space="preserve"> u odnosu na isto izvještajno razdoblje prethodne godine</w:t>
      </w:r>
      <w:r w:rsidR="00C3618C" w:rsidRPr="00D80B38">
        <w:rPr>
          <w:rFonts w:ascii="Book Antiqua" w:hAnsi="Book Antiqua" w:cs="Arial"/>
        </w:rPr>
        <w:t>. Razlika u prihodu je odraz priljeva poreznih prihoda i izvršenog povrata poreza u izvještajnom razdoblju.</w:t>
      </w:r>
    </w:p>
    <w:p w14:paraId="75D26C76" w14:textId="2497EFA4" w:rsidR="00C3618C" w:rsidRPr="00D80B38" w:rsidRDefault="00C3618C" w:rsidP="00C3618C">
      <w:pPr>
        <w:spacing w:after="0"/>
        <w:jc w:val="both"/>
        <w:rPr>
          <w:rFonts w:ascii="Book Antiqua" w:hAnsi="Book Antiqua" w:cs="Arial"/>
        </w:rPr>
      </w:pPr>
    </w:p>
    <w:p w14:paraId="73D13B52" w14:textId="175999F0" w:rsidR="00C3618C" w:rsidRPr="00D80B38" w:rsidRDefault="00C3618C" w:rsidP="00C3618C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613 Porezi na imovinu</w:t>
      </w:r>
    </w:p>
    <w:p w14:paraId="6785165C" w14:textId="1859BE57" w:rsidR="0085391D" w:rsidRPr="00D80B38" w:rsidRDefault="00C3618C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je </w:t>
      </w:r>
      <w:r w:rsidR="00AF48CF" w:rsidRPr="00D80B38">
        <w:rPr>
          <w:rFonts w:ascii="Book Antiqua" w:hAnsi="Book Antiqua" w:cs="Arial"/>
        </w:rPr>
        <w:t>veći</w:t>
      </w:r>
      <w:r w:rsidRPr="00D80B38">
        <w:rPr>
          <w:rFonts w:ascii="Book Antiqua" w:hAnsi="Book Antiqua" w:cs="Arial"/>
        </w:rPr>
        <w:t xml:space="preserve"> u odnosu na isto izvještajno razdoblje prethodne godine</w:t>
      </w:r>
      <w:r w:rsidR="00B66BB6" w:rsidRPr="00D80B38">
        <w:rPr>
          <w:rFonts w:ascii="Book Antiqua" w:hAnsi="Book Antiqua" w:cs="Arial"/>
        </w:rPr>
        <w:t xml:space="preserve">, a odraz je prometa nekretninama na području Općine </w:t>
      </w:r>
      <w:r w:rsidR="00D80B38" w:rsidRPr="00D80B38">
        <w:rPr>
          <w:rFonts w:ascii="Book Antiqua" w:hAnsi="Book Antiqua" w:cs="Arial"/>
        </w:rPr>
        <w:t>Podcrkavlje</w:t>
      </w:r>
      <w:r w:rsidR="00B66BB6" w:rsidRPr="00D80B38">
        <w:rPr>
          <w:rFonts w:ascii="Book Antiqua" w:hAnsi="Book Antiqua" w:cs="Arial"/>
        </w:rPr>
        <w:t xml:space="preserve"> i naplati poreza kojeg utvrđuje i provodi Porezna uprava.</w:t>
      </w:r>
    </w:p>
    <w:p w14:paraId="64162588" w14:textId="40AAC8B8" w:rsidR="00B66BB6" w:rsidRPr="00D80B38" w:rsidRDefault="00B66BB6" w:rsidP="00942C1A">
      <w:pPr>
        <w:spacing w:after="0"/>
        <w:rPr>
          <w:rFonts w:ascii="Book Antiqua" w:hAnsi="Book Antiqua" w:cs="Arial"/>
        </w:rPr>
      </w:pPr>
    </w:p>
    <w:p w14:paraId="72E318E0" w14:textId="13C9B3B2" w:rsidR="00B66BB6" w:rsidRPr="00D80B38" w:rsidRDefault="00B66BB6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614 Porezi na robu i usluge</w:t>
      </w:r>
    </w:p>
    <w:p w14:paraId="3BFF63D8" w14:textId="0463D09B" w:rsidR="00B66BB6" w:rsidRPr="00D80B38" w:rsidRDefault="00B66BB6" w:rsidP="00942C1A">
      <w:pPr>
        <w:spacing w:after="0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U izvještajnom </w:t>
      </w:r>
      <w:r w:rsidR="001D1A69" w:rsidRPr="00D80B38">
        <w:rPr>
          <w:rFonts w:ascii="Book Antiqua" w:hAnsi="Book Antiqua" w:cs="Arial"/>
        </w:rPr>
        <w:t xml:space="preserve">je </w:t>
      </w:r>
      <w:r w:rsidRPr="00D80B38">
        <w:rPr>
          <w:rFonts w:ascii="Book Antiqua" w:hAnsi="Book Antiqua" w:cs="Arial"/>
        </w:rPr>
        <w:t>razdoblju bilo prihoda od poreza na robu i uslugu</w:t>
      </w:r>
      <w:r w:rsidR="001D1A69" w:rsidRPr="00D80B38">
        <w:rPr>
          <w:rFonts w:ascii="Book Antiqua" w:hAnsi="Book Antiqua" w:cs="Arial"/>
        </w:rPr>
        <w:t xml:space="preserve">, a odnosi se na porez na </w:t>
      </w:r>
      <w:r w:rsidR="000415D7">
        <w:rPr>
          <w:rFonts w:ascii="Book Antiqua" w:hAnsi="Book Antiqua" w:cs="Arial"/>
        </w:rPr>
        <w:t>potrošnju</w:t>
      </w:r>
      <w:r w:rsidRPr="00D80B38">
        <w:rPr>
          <w:rFonts w:ascii="Book Antiqua" w:hAnsi="Book Antiqua" w:cs="Arial"/>
        </w:rPr>
        <w:t>.</w:t>
      </w:r>
    </w:p>
    <w:p w14:paraId="593B58F6" w14:textId="789098A3" w:rsidR="00C3618C" w:rsidRPr="00D80B38" w:rsidRDefault="00C3618C" w:rsidP="00942C1A">
      <w:pPr>
        <w:spacing w:after="0"/>
        <w:rPr>
          <w:rFonts w:ascii="Book Antiqua" w:hAnsi="Book Antiqua" w:cs="Arial"/>
          <w:b/>
          <w:bCs/>
        </w:rPr>
      </w:pPr>
    </w:p>
    <w:p w14:paraId="5E3C8B31" w14:textId="39C670F1" w:rsidR="00B66BB6" w:rsidRPr="00D80B38" w:rsidRDefault="00B66BB6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633 Pomoći proračunu iz drugih proračuna i izvanproračunskim korisnicima</w:t>
      </w:r>
    </w:p>
    <w:p w14:paraId="31470533" w14:textId="74606746" w:rsidR="00880369" w:rsidRPr="00D80B38" w:rsidRDefault="00B66BB6" w:rsidP="0088036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je</w:t>
      </w:r>
      <w:r w:rsidR="001D1A69" w:rsidRPr="00D80B38">
        <w:rPr>
          <w:rFonts w:ascii="Book Antiqua" w:hAnsi="Book Antiqua" w:cs="Arial"/>
        </w:rPr>
        <w:t xml:space="preserve"> veći</w:t>
      </w:r>
      <w:r w:rsidRPr="00D80B38">
        <w:rPr>
          <w:rFonts w:ascii="Book Antiqua" w:hAnsi="Book Antiqua" w:cs="Arial"/>
        </w:rPr>
        <w:t xml:space="preserve"> u odnosu na isto izvještajno razdoblje prethodne godine, a struktura prihoda od pomoći ove godine je prihod od fiskalnog izravnanja</w:t>
      </w:r>
      <w:r w:rsidR="00AF48CF" w:rsidRPr="00D80B38">
        <w:rPr>
          <w:rFonts w:ascii="Book Antiqua" w:hAnsi="Book Antiqua" w:cs="Arial"/>
        </w:rPr>
        <w:t xml:space="preserve"> i kapitalne pomoći iz državnog proračuna</w:t>
      </w:r>
      <w:r w:rsidR="00880369">
        <w:rPr>
          <w:rFonts w:ascii="Book Antiqua" w:hAnsi="Book Antiqua" w:cs="Arial"/>
        </w:rPr>
        <w:t xml:space="preserve"> te </w:t>
      </w:r>
      <w:r w:rsidR="00880369" w:rsidRPr="00D80B38">
        <w:rPr>
          <w:rFonts w:ascii="Book Antiqua" w:hAnsi="Book Antiqua" w:cs="Arial"/>
        </w:rPr>
        <w:t xml:space="preserve">kapitalne pomoći </w:t>
      </w:r>
      <w:r w:rsidR="00E66664">
        <w:rPr>
          <w:rFonts w:ascii="Book Antiqua" w:hAnsi="Book Antiqua" w:cs="Arial"/>
        </w:rPr>
        <w:t>od izvanproračunskih korisnika</w:t>
      </w:r>
      <w:r w:rsidR="00880369" w:rsidRPr="00D80B38">
        <w:rPr>
          <w:rFonts w:ascii="Book Antiqua" w:hAnsi="Book Antiqua" w:cs="Arial"/>
        </w:rPr>
        <w:t>.</w:t>
      </w:r>
    </w:p>
    <w:p w14:paraId="0CE7A79E" w14:textId="771665A9" w:rsidR="00B66BB6" w:rsidRPr="00D80B38" w:rsidRDefault="00B66BB6" w:rsidP="003B5349">
      <w:pPr>
        <w:spacing w:after="0"/>
        <w:jc w:val="both"/>
        <w:rPr>
          <w:rFonts w:ascii="Book Antiqua" w:hAnsi="Book Antiqua" w:cs="Arial"/>
        </w:rPr>
      </w:pPr>
    </w:p>
    <w:p w14:paraId="65C44B94" w14:textId="77777777" w:rsidR="00C3618C" w:rsidRPr="00D80B38" w:rsidRDefault="00C3618C" w:rsidP="00942C1A">
      <w:pPr>
        <w:spacing w:after="0"/>
        <w:rPr>
          <w:rFonts w:ascii="Book Antiqua" w:hAnsi="Book Antiqua" w:cs="Arial"/>
          <w:b/>
          <w:bCs/>
        </w:rPr>
      </w:pPr>
    </w:p>
    <w:p w14:paraId="49C7F8FB" w14:textId="02FAB882" w:rsidR="00942C1A" w:rsidRPr="00D80B38" w:rsidRDefault="000144C8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638 Pomoći temeljem prijenosa EU sredstava</w:t>
      </w:r>
    </w:p>
    <w:p w14:paraId="566886E7" w14:textId="0BB55BF0" w:rsidR="007306DC" w:rsidRPr="00D80B38" w:rsidRDefault="00F670F2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</w:t>
      </w:r>
      <w:r w:rsidR="007306DC" w:rsidRPr="00D80B38">
        <w:rPr>
          <w:rFonts w:ascii="Book Antiqua" w:hAnsi="Book Antiqua" w:cs="Arial"/>
        </w:rPr>
        <w:t xml:space="preserve">odnosi na </w:t>
      </w:r>
      <w:r w:rsidR="00FC154D" w:rsidRPr="00D80B38">
        <w:rPr>
          <w:rFonts w:ascii="Book Antiqua" w:hAnsi="Book Antiqua" w:cs="Arial"/>
        </w:rPr>
        <w:t>prihode od</w:t>
      </w:r>
      <w:r w:rsidR="00714182" w:rsidRPr="00D80B38">
        <w:rPr>
          <w:rFonts w:ascii="Book Antiqua" w:hAnsi="Book Antiqua" w:cs="Arial"/>
        </w:rPr>
        <w:t xml:space="preserve"> p</w:t>
      </w:r>
      <w:r w:rsidR="00FC154D" w:rsidRPr="00D80B38">
        <w:rPr>
          <w:rFonts w:ascii="Book Antiqua" w:hAnsi="Book Antiqua" w:cs="Arial"/>
        </w:rPr>
        <w:t>omoći temeljem prijenosa EU sredstava i</w:t>
      </w:r>
      <w:r w:rsidR="007306DC" w:rsidRPr="00D80B38">
        <w:rPr>
          <w:rFonts w:ascii="Book Antiqua" w:hAnsi="Book Antiqua" w:cs="Arial"/>
        </w:rPr>
        <w:t xml:space="preserve"> </w:t>
      </w:r>
      <w:r w:rsidR="00A16E27">
        <w:rPr>
          <w:rFonts w:ascii="Book Antiqua" w:hAnsi="Book Antiqua" w:cs="Arial"/>
        </w:rPr>
        <w:t>manji</w:t>
      </w:r>
      <w:r w:rsidR="001D1A69" w:rsidRPr="00D80B38">
        <w:rPr>
          <w:rFonts w:ascii="Book Antiqua" w:hAnsi="Book Antiqua" w:cs="Arial"/>
        </w:rPr>
        <w:t xml:space="preserve"> je</w:t>
      </w:r>
      <w:r w:rsidR="007306DC" w:rsidRPr="00D80B38">
        <w:rPr>
          <w:rFonts w:ascii="Book Antiqua" w:hAnsi="Book Antiqua" w:cs="Arial"/>
        </w:rPr>
        <w:t xml:space="preserve"> u odnosu na isto razdoblje prethodne godine iz razloga što </w:t>
      </w:r>
      <w:r w:rsidR="001D1A69" w:rsidRPr="00D80B38">
        <w:rPr>
          <w:rFonts w:ascii="Book Antiqua" w:hAnsi="Book Antiqua" w:cs="Arial"/>
        </w:rPr>
        <w:t>s</w:t>
      </w:r>
      <w:r w:rsidR="00630338">
        <w:rPr>
          <w:rFonts w:ascii="Book Antiqua" w:hAnsi="Book Antiqua" w:cs="Arial"/>
        </w:rPr>
        <w:t>u</w:t>
      </w:r>
      <w:r w:rsidR="001D1A69" w:rsidRPr="00D80B38">
        <w:rPr>
          <w:rFonts w:ascii="Book Antiqua" w:hAnsi="Book Antiqua" w:cs="Arial"/>
        </w:rPr>
        <w:t xml:space="preserve"> </w:t>
      </w:r>
      <w:r w:rsidR="00A16E27">
        <w:rPr>
          <w:rFonts w:ascii="Book Antiqua" w:hAnsi="Book Antiqua" w:cs="Arial"/>
        </w:rPr>
        <w:t>manje</w:t>
      </w:r>
      <w:r w:rsidR="00630338">
        <w:rPr>
          <w:rFonts w:ascii="Book Antiqua" w:hAnsi="Book Antiqua" w:cs="Arial"/>
        </w:rPr>
        <w:t xml:space="preserve"> kapitalne pomoći temeljem prijenosa EU sredstava</w:t>
      </w:r>
    </w:p>
    <w:p w14:paraId="6DAC9A7B" w14:textId="11AF574C" w:rsidR="009D298A" w:rsidRPr="00D80B38" w:rsidRDefault="009D298A" w:rsidP="00942C1A">
      <w:pPr>
        <w:spacing w:after="0"/>
        <w:rPr>
          <w:rFonts w:ascii="Book Antiqua" w:hAnsi="Book Antiqua" w:cs="Arial"/>
        </w:rPr>
      </w:pPr>
    </w:p>
    <w:p w14:paraId="0EB4C6C5" w14:textId="419F1CDD" w:rsidR="009D298A" w:rsidRPr="00D80B38" w:rsidRDefault="009D298A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lastRenderedPageBreak/>
        <w:t>64 Prihodi od imovine</w:t>
      </w:r>
    </w:p>
    <w:p w14:paraId="0D8EEA5D" w14:textId="738454E1" w:rsidR="004A480C" w:rsidRPr="00D80B38" w:rsidRDefault="009D298A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je </w:t>
      </w:r>
      <w:r w:rsidR="00A16E27">
        <w:rPr>
          <w:rFonts w:ascii="Book Antiqua" w:hAnsi="Book Antiqua" w:cs="Arial"/>
        </w:rPr>
        <w:t>manji</w:t>
      </w:r>
      <w:r w:rsidRPr="00D80B38">
        <w:rPr>
          <w:rFonts w:ascii="Book Antiqua" w:hAnsi="Book Antiqua" w:cs="Arial"/>
        </w:rPr>
        <w:t xml:space="preserve"> u odnosu na isto razdoblje prethodne godine iz razloga što su </w:t>
      </w:r>
      <w:r w:rsidR="00A16E27">
        <w:rPr>
          <w:rFonts w:ascii="Book Antiqua" w:hAnsi="Book Antiqua" w:cs="Arial"/>
        </w:rPr>
        <w:t>smanjen</w:t>
      </w:r>
      <w:r w:rsidR="00EA3ED2">
        <w:rPr>
          <w:rFonts w:ascii="Book Antiqua" w:hAnsi="Book Antiqua" w:cs="Arial"/>
        </w:rPr>
        <w:t>i</w:t>
      </w:r>
      <w:r w:rsidRPr="00D80B38">
        <w:rPr>
          <w:rFonts w:ascii="Book Antiqua" w:hAnsi="Book Antiqua" w:cs="Arial"/>
        </w:rPr>
        <w:t xml:space="preserve"> prihodi od </w:t>
      </w:r>
      <w:r w:rsidR="003D64EC">
        <w:rPr>
          <w:rFonts w:ascii="Book Antiqua" w:hAnsi="Book Antiqua" w:cs="Arial"/>
        </w:rPr>
        <w:t>financijske imovine</w:t>
      </w:r>
      <w:r w:rsidRPr="00D80B38">
        <w:rPr>
          <w:rFonts w:ascii="Book Antiqua" w:hAnsi="Book Antiqua" w:cs="Arial"/>
        </w:rPr>
        <w:t>.</w:t>
      </w:r>
    </w:p>
    <w:p w14:paraId="0080DAD9" w14:textId="6A585F84" w:rsidR="009D298A" w:rsidRPr="00D80B38" w:rsidRDefault="009D298A" w:rsidP="00942C1A">
      <w:pPr>
        <w:spacing w:after="0"/>
        <w:rPr>
          <w:rFonts w:ascii="Book Antiqua" w:hAnsi="Book Antiqua" w:cs="Arial"/>
          <w:b/>
          <w:bCs/>
        </w:rPr>
      </w:pPr>
    </w:p>
    <w:p w14:paraId="5B553CFE" w14:textId="6E714FCC" w:rsidR="009D298A" w:rsidRPr="00D80B38" w:rsidRDefault="009D298A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65 Prihodi od upravnih i administrativnih pristojbi</w:t>
      </w:r>
      <w:r w:rsidR="00366775" w:rsidRPr="00D80B38">
        <w:rPr>
          <w:rFonts w:ascii="Book Antiqua" w:hAnsi="Book Antiqua" w:cs="Arial"/>
          <w:b/>
          <w:bCs/>
        </w:rPr>
        <w:t>, pristojbi po posebnim propisima i naknada</w:t>
      </w:r>
    </w:p>
    <w:p w14:paraId="2D87244F" w14:textId="06AC4C30" w:rsidR="009D298A" w:rsidRPr="00D80B38" w:rsidRDefault="00366775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je </w:t>
      </w:r>
      <w:r w:rsidR="003D64EC">
        <w:rPr>
          <w:rFonts w:ascii="Book Antiqua" w:hAnsi="Book Antiqua" w:cs="Arial"/>
        </w:rPr>
        <w:t>manji</w:t>
      </w:r>
      <w:r w:rsidRPr="00D80B38">
        <w:rPr>
          <w:rFonts w:ascii="Book Antiqua" w:hAnsi="Book Antiqua" w:cs="Arial"/>
        </w:rPr>
        <w:t xml:space="preserve"> u odnosu na isto razdoblje prethodne godine, a odnosi se na prihode od doprinosa za šume, komunalnog doprinosa, komunalne naknade i dr.</w:t>
      </w:r>
    </w:p>
    <w:p w14:paraId="7CA3E26A" w14:textId="05506069" w:rsidR="009D298A" w:rsidRPr="00D80B38" w:rsidRDefault="009D298A" w:rsidP="00942C1A">
      <w:pPr>
        <w:spacing w:after="0"/>
        <w:rPr>
          <w:rFonts w:ascii="Book Antiqua" w:hAnsi="Book Antiqua" w:cs="Arial"/>
        </w:rPr>
      </w:pPr>
    </w:p>
    <w:p w14:paraId="778F3E29" w14:textId="3AE7846D" w:rsidR="00366775" w:rsidRPr="00D80B38" w:rsidRDefault="00366775" w:rsidP="00942C1A">
      <w:pPr>
        <w:spacing w:after="0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66 Prihodi od prodaje proizvoda i robe te pruženih usluga, prihodi od donacija te povrati po protestiranim jamstvima</w:t>
      </w:r>
    </w:p>
    <w:p w14:paraId="5ED01A4B" w14:textId="25E757BB" w:rsidR="00366775" w:rsidRPr="00D80B38" w:rsidRDefault="00366775" w:rsidP="003B5349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</w:t>
      </w:r>
      <w:r w:rsidR="0010367D" w:rsidRPr="00D80B38">
        <w:rPr>
          <w:rFonts w:ascii="Book Antiqua" w:hAnsi="Book Antiqua" w:cs="Arial"/>
        </w:rPr>
        <w:t xml:space="preserve">se </w:t>
      </w:r>
      <w:r w:rsidRPr="00D80B38">
        <w:rPr>
          <w:rFonts w:ascii="Book Antiqua" w:hAnsi="Book Antiqua" w:cs="Arial"/>
        </w:rPr>
        <w:t>odnosi</w:t>
      </w:r>
      <w:r w:rsidR="0010367D" w:rsidRPr="00D80B38">
        <w:rPr>
          <w:rFonts w:ascii="Book Antiqua" w:hAnsi="Book Antiqua" w:cs="Arial"/>
        </w:rPr>
        <w:t xml:space="preserve"> n</w:t>
      </w:r>
      <w:r w:rsidRPr="00D80B38">
        <w:rPr>
          <w:rFonts w:ascii="Book Antiqua" w:hAnsi="Book Antiqua" w:cs="Arial"/>
        </w:rPr>
        <w:t xml:space="preserve">a </w:t>
      </w:r>
      <w:r w:rsidR="000C29B7" w:rsidRPr="00D80B38">
        <w:rPr>
          <w:rFonts w:ascii="Book Antiqua" w:hAnsi="Book Antiqua" w:cs="Arial"/>
        </w:rPr>
        <w:t>prihod od Hrvatsk</w:t>
      </w:r>
      <w:r w:rsidR="003D64EC">
        <w:rPr>
          <w:rFonts w:ascii="Book Antiqua" w:hAnsi="Book Antiqua" w:cs="Arial"/>
        </w:rPr>
        <w:t xml:space="preserve">e lutrije za </w:t>
      </w:r>
      <w:proofErr w:type="spellStart"/>
      <w:r w:rsidR="003D64EC">
        <w:rPr>
          <w:rFonts w:ascii="Book Antiqua" w:hAnsi="Book Antiqua" w:cs="Arial"/>
        </w:rPr>
        <w:t>street</w:t>
      </w:r>
      <w:proofErr w:type="spellEnd"/>
      <w:r w:rsidR="003D64EC">
        <w:rPr>
          <w:rFonts w:ascii="Book Antiqua" w:hAnsi="Book Antiqua" w:cs="Arial"/>
        </w:rPr>
        <w:t xml:space="preserve"> </w:t>
      </w:r>
      <w:proofErr w:type="spellStart"/>
      <w:r w:rsidR="003D64EC">
        <w:rPr>
          <w:rFonts w:ascii="Book Antiqua" w:hAnsi="Book Antiqua" w:cs="Arial"/>
        </w:rPr>
        <w:t>ball</w:t>
      </w:r>
      <w:proofErr w:type="spellEnd"/>
      <w:r w:rsidR="003D64EC">
        <w:rPr>
          <w:rFonts w:ascii="Book Antiqua" w:hAnsi="Book Antiqua" w:cs="Arial"/>
        </w:rPr>
        <w:t xml:space="preserve"> igralište</w:t>
      </w:r>
      <w:r w:rsidR="000C29B7" w:rsidRPr="00D80B38">
        <w:rPr>
          <w:rFonts w:ascii="Book Antiqua" w:hAnsi="Book Antiqua" w:cs="Arial"/>
        </w:rPr>
        <w:t>.</w:t>
      </w:r>
    </w:p>
    <w:p w14:paraId="2D5C202A" w14:textId="424ABE21" w:rsidR="004365C6" w:rsidRPr="00D80B38" w:rsidRDefault="004365C6" w:rsidP="00942C1A">
      <w:pPr>
        <w:spacing w:after="0"/>
        <w:rPr>
          <w:rFonts w:ascii="Book Antiqua" w:hAnsi="Book Antiqua" w:cs="Arial"/>
        </w:rPr>
      </w:pPr>
    </w:p>
    <w:p w14:paraId="3BC4160A" w14:textId="2FEB7AF1" w:rsidR="004A480C" w:rsidRPr="00D80B38" w:rsidRDefault="004A480C" w:rsidP="00942C1A">
      <w:pPr>
        <w:spacing w:after="0"/>
        <w:rPr>
          <w:rFonts w:ascii="Book Antiqua" w:hAnsi="Book Antiqua" w:cs="Arial"/>
          <w:b/>
          <w:bCs/>
          <w:i/>
          <w:iCs/>
          <w:u w:val="single"/>
        </w:rPr>
      </w:pPr>
      <w:r w:rsidRPr="00D80B38">
        <w:rPr>
          <w:rFonts w:ascii="Book Antiqua" w:hAnsi="Book Antiqua" w:cs="Arial"/>
          <w:b/>
          <w:bCs/>
          <w:i/>
          <w:iCs/>
          <w:u w:val="single"/>
        </w:rPr>
        <w:t>RASHODI</w:t>
      </w:r>
    </w:p>
    <w:p w14:paraId="0AC3EC58" w14:textId="3E8D694D" w:rsidR="00612602" w:rsidRPr="00D80B38" w:rsidRDefault="00322845" w:rsidP="00DA1E2C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311 Plaće</w:t>
      </w:r>
    </w:p>
    <w:p w14:paraId="194EA43E" w14:textId="2C5F10B8" w:rsidR="00FC154D" w:rsidRPr="00D80B38" w:rsidRDefault="00FC154D" w:rsidP="00714182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</w:t>
      </w:r>
      <w:r w:rsidR="00714182" w:rsidRPr="00D80B38">
        <w:rPr>
          <w:rFonts w:ascii="Book Antiqua" w:hAnsi="Book Antiqua" w:cs="Arial"/>
        </w:rPr>
        <w:t xml:space="preserve">na </w:t>
      </w:r>
      <w:r w:rsidR="00322845" w:rsidRPr="00D80B38">
        <w:rPr>
          <w:rFonts w:ascii="Book Antiqua" w:hAnsi="Book Antiqua" w:cs="Arial"/>
        </w:rPr>
        <w:t xml:space="preserve">rashode za plaće (bruto) i </w:t>
      </w:r>
      <w:r w:rsidR="001D1464">
        <w:rPr>
          <w:rFonts w:ascii="Book Antiqua" w:hAnsi="Book Antiqua" w:cs="Arial"/>
        </w:rPr>
        <w:t>veći</w:t>
      </w:r>
      <w:r w:rsidR="00322845" w:rsidRPr="00D80B38">
        <w:rPr>
          <w:rFonts w:ascii="Book Antiqua" w:hAnsi="Book Antiqua" w:cs="Arial"/>
        </w:rPr>
        <w:t xml:space="preserve"> su u odnosu na isto razdoblje prethodne godine zbog </w:t>
      </w:r>
      <w:r w:rsidR="001D1464">
        <w:rPr>
          <w:rFonts w:ascii="Book Antiqua" w:hAnsi="Book Antiqua" w:cs="Arial"/>
        </w:rPr>
        <w:t>većih</w:t>
      </w:r>
      <w:r w:rsidR="00322845" w:rsidRPr="00D80B38">
        <w:rPr>
          <w:rFonts w:ascii="Book Antiqua" w:hAnsi="Book Antiqua" w:cs="Arial"/>
        </w:rPr>
        <w:t xml:space="preserve"> troškova zaposlenih (</w:t>
      </w:r>
      <w:r w:rsidR="001D1464">
        <w:rPr>
          <w:rFonts w:ascii="Book Antiqua" w:hAnsi="Book Antiqua" w:cs="Arial"/>
        </w:rPr>
        <w:t>veći</w:t>
      </w:r>
      <w:r w:rsidR="00322845" w:rsidRPr="00D80B38">
        <w:rPr>
          <w:rFonts w:ascii="Book Antiqua" w:hAnsi="Book Antiqua" w:cs="Arial"/>
        </w:rPr>
        <w:t xml:space="preserve"> broj djelatnika</w:t>
      </w:r>
      <w:r w:rsidR="0010367D" w:rsidRPr="00D80B38">
        <w:rPr>
          <w:rFonts w:ascii="Book Antiqua" w:hAnsi="Book Antiqua" w:cs="Arial"/>
        </w:rPr>
        <w:t>).</w:t>
      </w:r>
      <w:r w:rsidR="00322845" w:rsidRPr="00D80B38">
        <w:rPr>
          <w:rFonts w:ascii="Book Antiqua" w:hAnsi="Book Antiqua" w:cs="Arial"/>
        </w:rPr>
        <w:t xml:space="preserve"> </w:t>
      </w:r>
    </w:p>
    <w:p w14:paraId="78FFA1CE" w14:textId="01C763A1" w:rsidR="00FC154D" w:rsidRPr="00D80B38" w:rsidRDefault="00322845" w:rsidP="00FC154D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312 Ostali rashodi za zaposlene</w:t>
      </w:r>
    </w:p>
    <w:p w14:paraId="01EF6063" w14:textId="15DC2590" w:rsidR="00FC154D" w:rsidRPr="00D80B38" w:rsidRDefault="00FC154D" w:rsidP="00F85B0A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na </w:t>
      </w:r>
      <w:r w:rsidR="00322845" w:rsidRPr="00D80B38">
        <w:rPr>
          <w:rFonts w:ascii="Book Antiqua" w:hAnsi="Book Antiqua" w:cs="Arial"/>
        </w:rPr>
        <w:t>rashode koji se isplaćuju zaposlenima, a odnose se na prigodne godišnje nagrade, prava po kolektivnom ugovoru</w:t>
      </w:r>
      <w:r w:rsidR="006F1F56">
        <w:rPr>
          <w:rFonts w:ascii="Book Antiqua" w:hAnsi="Book Antiqua" w:cs="Arial"/>
        </w:rPr>
        <w:t>.</w:t>
      </w:r>
      <w:r w:rsidR="00322845" w:rsidRPr="00D80B38">
        <w:rPr>
          <w:rFonts w:ascii="Book Antiqua" w:hAnsi="Book Antiqua" w:cs="Arial"/>
        </w:rPr>
        <w:t xml:space="preserve"> </w:t>
      </w:r>
    </w:p>
    <w:p w14:paraId="6B241041" w14:textId="66740C56" w:rsidR="00FC154D" w:rsidRPr="00D80B38" w:rsidRDefault="00F8374A" w:rsidP="00FC154D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313 Doprinosi na plaće</w:t>
      </w:r>
    </w:p>
    <w:p w14:paraId="2931AF9B" w14:textId="5048C90A" w:rsidR="000C29B7" w:rsidRPr="00D80B38" w:rsidRDefault="00F8374A" w:rsidP="000C29B7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rashode za doprinose na plaću</w:t>
      </w:r>
      <w:r w:rsidR="002F4C1E">
        <w:rPr>
          <w:rFonts w:ascii="Book Antiqua" w:hAnsi="Book Antiqua" w:cs="Arial"/>
        </w:rPr>
        <w:t>.</w:t>
      </w:r>
    </w:p>
    <w:p w14:paraId="0A5270B6" w14:textId="77777777" w:rsidR="000C29B7" w:rsidRPr="00D80B38" w:rsidRDefault="00F8374A" w:rsidP="000C29B7">
      <w:pPr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321 Naknade troškova zaposlenima</w:t>
      </w:r>
    </w:p>
    <w:p w14:paraId="1598126A" w14:textId="62D21253" w:rsidR="009952F1" w:rsidRPr="00D80B38" w:rsidRDefault="00FC154D" w:rsidP="009952F1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na </w:t>
      </w:r>
      <w:r w:rsidR="00F8374A" w:rsidRPr="00D80B38">
        <w:rPr>
          <w:rFonts w:ascii="Book Antiqua" w:hAnsi="Book Antiqua" w:cs="Arial"/>
        </w:rPr>
        <w:t xml:space="preserve">rashode za službena putovanja, stručno usavršavanje zaposlenika, naknade za prijevoz na posao i s posla. </w:t>
      </w:r>
    </w:p>
    <w:p w14:paraId="39B3AD1E" w14:textId="77777777" w:rsidR="00AB72FE" w:rsidRPr="00D80B38" w:rsidRDefault="00D40EE0" w:rsidP="0010367D">
      <w:pPr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322</w:t>
      </w:r>
      <w:r w:rsidR="00CF458F" w:rsidRPr="00D80B38">
        <w:rPr>
          <w:rFonts w:ascii="Book Antiqua" w:hAnsi="Book Antiqua" w:cs="Arial"/>
          <w:b/>
          <w:bCs/>
        </w:rPr>
        <w:t xml:space="preserve"> Rashod za materijal i energiju</w:t>
      </w:r>
    </w:p>
    <w:p w14:paraId="7516B2FE" w14:textId="7A7730CC" w:rsidR="00F85B0A" w:rsidRPr="00D80B38" w:rsidRDefault="00F85B0A" w:rsidP="0010367D">
      <w:pPr>
        <w:spacing w:after="0" w:line="240" w:lineRule="auto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na rashode za </w:t>
      </w:r>
      <w:r w:rsidR="00CF458F" w:rsidRPr="00D80B38">
        <w:rPr>
          <w:rFonts w:ascii="Book Antiqua" w:hAnsi="Book Antiqua" w:cs="Arial"/>
        </w:rPr>
        <w:t xml:space="preserve"> za troškove električne energije po objektima u vlasništvu Općine </w:t>
      </w:r>
      <w:r w:rsidR="00D80B38" w:rsidRPr="00D80B38">
        <w:rPr>
          <w:rFonts w:ascii="Book Antiqua" w:hAnsi="Book Antiqua" w:cs="Arial"/>
        </w:rPr>
        <w:t>Podcrkavlje</w:t>
      </w:r>
      <w:r w:rsidR="00CF458F" w:rsidRPr="00D80B38">
        <w:rPr>
          <w:rFonts w:ascii="Book Antiqua" w:hAnsi="Book Antiqua" w:cs="Arial"/>
        </w:rPr>
        <w:t xml:space="preserve">, kao i za troškove električne energije za javnu rasvjetu u svih </w:t>
      </w:r>
      <w:r w:rsidR="00873AA5">
        <w:rPr>
          <w:rFonts w:ascii="Book Antiqua" w:hAnsi="Book Antiqua" w:cs="Arial"/>
        </w:rPr>
        <w:t>trinaest</w:t>
      </w:r>
      <w:r w:rsidR="00CF458F" w:rsidRPr="00D80B38">
        <w:rPr>
          <w:rFonts w:ascii="Book Antiqua" w:hAnsi="Book Antiqua" w:cs="Arial"/>
        </w:rPr>
        <w:t xml:space="preserve"> naselja Općine </w:t>
      </w:r>
      <w:r w:rsidR="00D80B38" w:rsidRPr="00D80B38">
        <w:rPr>
          <w:rFonts w:ascii="Book Antiqua" w:hAnsi="Book Antiqua" w:cs="Arial"/>
        </w:rPr>
        <w:t>Podcrkavlje</w:t>
      </w:r>
      <w:r w:rsidR="00CF458F" w:rsidRPr="00D80B38">
        <w:rPr>
          <w:rFonts w:ascii="Book Antiqua" w:hAnsi="Book Antiqua" w:cs="Arial"/>
        </w:rPr>
        <w:t>.</w:t>
      </w:r>
      <w:r w:rsidR="006B49E4" w:rsidRPr="00D80B38">
        <w:rPr>
          <w:rFonts w:ascii="Book Antiqua" w:hAnsi="Book Antiqua" w:cs="Arial"/>
        </w:rPr>
        <w:t xml:space="preserve"> </w:t>
      </w:r>
    </w:p>
    <w:p w14:paraId="1462DCEA" w14:textId="5F029747" w:rsidR="006B49E4" w:rsidRPr="00D80B38" w:rsidRDefault="006B49E4" w:rsidP="006B49E4">
      <w:pPr>
        <w:pStyle w:val="Naslov3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323</w:t>
      </w:r>
      <w:r w:rsidR="00AB72FE" w:rsidRPr="00D80B38">
        <w:rPr>
          <w:rFonts w:ascii="Book Antiqua" w:hAnsi="Book Antiqua" w:cs="Arial"/>
          <w:color w:val="auto"/>
        </w:rPr>
        <w:t xml:space="preserve"> Rashodi za usluge</w:t>
      </w:r>
    </w:p>
    <w:p w14:paraId="2FC1C132" w14:textId="4C32E979" w:rsidR="006B49E4" w:rsidRPr="00D80B38" w:rsidRDefault="006B49E4" w:rsidP="00EC2D87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rashode za usluge i veći je u odnosu na isto razdoblje prethodne godine iz razloga što su povećani troškovi usluga tekućeg i investicijskog održavanja</w:t>
      </w:r>
      <w:r w:rsidR="00B9618D" w:rsidRPr="00D80B38">
        <w:rPr>
          <w:rFonts w:ascii="Book Antiqua" w:hAnsi="Book Antiqua" w:cs="Arial"/>
        </w:rPr>
        <w:t>, komunalnih usluga, te intelektualnih usluga</w:t>
      </w:r>
      <w:r w:rsidR="002E0E1A" w:rsidRPr="00D80B38">
        <w:rPr>
          <w:rFonts w:ascii="Book Antiqua" w:hAnsi="Book Antiqua" w:cs="Arial"/>
        </w:rPr>
        <w:t>.</w:t>
      </w:r>
    </w:p>
    <w:p w14:paraId="4B6BB13A" w14:textId="1C30B0D4" w:rsidR="002E0E1A" w:rsidRPr="00D80B38" w:rsidRDefault="002E0E1A" w:rsidP="00EC2D87">
      <w:pPr>
        <w:pStyle w:val="Naslov3"/>
        <w:jc w:val="both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329</w:t>
      </w:r>
      <w:r w:rsidR="00AB72FE" w:rsidRPr="00D80B38">
        <w:rPr>
          <w:rFonts w:ascii="Book Antiqua" w:hAnsi="Book Antiqua" w:cs="Arial"/>
          <w:color w:val="auto"/>
        </w:rPr>
        <w:t xml:space="preserve"> Ostali nespomenuti rashodi poslovanja</w:t>
      </w:r>
    </w:p>
    <w:p w14:paraId="7D7AED09" w14:textId="3A5F3B4E" w:rsidR="002E0E1A" w:rsidRDefault="002E0E1A" w:rsidP="00EC2D87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ostale nespomenute rashode poslovanja</w:t>
      </w:r>
      <w:r w:rsidR="0010367D" w:rsidRPr="00D80B38">
        <w:rPr>
          <w:rFonts w:ascii="Book Antiqua" w:hAnsi="Book Antiqua" w:cs="Arial"/>
        </w:rPr>
        <w:t xml:space="preserve">, a odnose se na </w:t>
      </w:r>
      <w:r w:rsidR="00B9618D" w:rsidRPr="00D80B38">
        <w:rPr>
          <w:rFonts w:ascii="Book Antiqua" w:hAnsi="Book Antiqua" w:cs="Arial"/>
        </w:rPr>
        <w:t xml:space="preserve"> rashod</w:t>
      </w:r>
      <w:r w:rsidR="0010367D" w:rsidRPr="00D80B38">
        <w:rPr>
          <w:rFonts w:ascii="Book Antiqua" w:hAnsi="Book Antiqua" w:cs="Arial"/>
        </w:rPr>
        <w:t>e</w:t>
      </w:r>
      <w:r w:rsidR="00B9618D" w:rsidRPr="00D80B38">
        <w:rPr>
          <w:rFonts w:ascii="Book Antiqua" w:hAnsi="Book Antiqua" w:cs="Arial"/>
        </w:rPr>
        <w:t xml:space="preserve"> za rad predstavničkih i izvršnih tijela, </w:t>
      </w:r>
      <w:r w:rsidR="0010367D" w:rsidRPr="00D80B38">
        <w:rPr>
          <w:rFonts w:ascii="Book Antiqua" w:hAnsi="Book Antiqua" w:cs="Arial"/>
        </w:rPr>
        <w:t xml:space="preserve">reprezentaciju, </w:t>
      </w:r>
      <w:r w:rsidR="00B9618D" w:rsidRPr="00D80B38">
        <w:rPr>
          <w:rFonts w:ascii="Book Antiqua" w:hAnsi="Book Antiqua" w:cs="Arial"/>
        </w:rPr>
        <w:t>povjerenstava</w:t>
      </w:r>
      <w:r w:rsidR="0010367D" w:rsidRPr="00D80B38">
        <w:rPr>
          <w:rFonts w:ascii="Book Antiqua" w:hAnsi="Book Antiqua" w:cs="Arial"/>
        </w:rPr>
        <w:t xml:space="preserve"> </w:t>
      </w:r>
      <w:r w:rsidR="00B9618D" w:rsidRPr="00D80B38">
        <w:rPr>
          <w:rFonts w:ascii="Book Antiqua" w:hAnsi="Book Antiqua" w:cs="Arial"/>
        </w:rPr>
        <w:t>i sl.</w:t>
      </w:r>
    </w:p>
    <w:p w14:paraId="7272FB1F" w14:textId="77777777" w:rsidR="00E861AF" w:rsidRPr="00D80B38" w:rsidRDefault="00E861AF" w:rsidP="00EC2D87">
      <w:pPr>
        <w:jc w:val="both"/>
        <w:rPr>
          <w:rFonts w:ascii="Book Antiqua" w:hAnsi="Book Antiqua" w:cs="Arial"/>
        </w:rPr>
      </w:pPr>
    </w:p>
    <w:p w14:paraId="4D3C8D25" w14:textId="5EED1C38" w:rsidR="00C668E8" w:rsidRDefault="00C668E8" w:rsidP="00EC2D87">
      <w:pPr>
        <w:spacing w:after="0"/>
        <w:jc w:val="both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lastRenderedPageBreak/>
        <w:t>342 Kamate za primljene kredite i zajmove</w:t>
      </w:r>
    </w:p>
    <w:p w14:paraId="496075A6" w14:textId="73413549" w:rsidR="00C668E8" w:rsidRDefault="00C668E8" w:rsidP="00EC2D87">
      <w:pPr>
        <w:spacing w:after="0"/>
        <w:jc w:val="both"/>
        <w:rPr>
          <w:rFonts w:ascii="Book Antiqua" w:hAnsi="Book Antiqua" w:cs="Arial"/>
          <w:b/>
          <w:bCs/>
        </w:rPr>
      </w:pPr>
      <w:r>
        <w:rPr>
          <w:rFonts w:ascii="Times New Roman" w:hAnsi="Times New Roman" w:cs="Times New Roman"/>
          <w:szCs w:val="24"/>
        </w:rPr>
        <w:t>Iskazani iznos odnosi se na kamate za primljene kredite i zajmove od kreditnih i ostalih financijskih institucija izvan javnog sektora te iznose</w:t>
      </w:r>
    </w:p>
    <w:p w14:paraId="2D12E80D" w14:textId="77777777" w:rsidR="00C668E8" w:rsidRDefault="00C668E8" w:rsidP="00EC2D87">
      <w:pPr>
        <w:spacing w:after="0"/>
        <w:jc w:val="both"/>
        <w:rPr>
          <w:rFonts w:ascii="Book Antiqua" w:hAnsi="Book Antiqua" w:cs="Arial"/>
          <w:b/>
          <w:bCs/>
        </w:rPr>
      </w:pPr>
    </w:p>
    <w:p w14:paraId="45BAB930" w14:textId="5EADD11F" w:rsidR="00B9618D" w:rsidRPr="00D80B38" w:rsidRDefault="00B9618D" w:rsidP="00EC2D8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343 Ostali financijski rashodi</w:t>
      </w:r>
    </w:p>
    <w:p w14:paraId="76EC84EE" w14:textId="37DA116D" w:rsidR="00B9618D" w:rsidRPr="00D80B38" w:rsidRDefault="00EC2D87" w:rsidP="00EC2D8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Iskazani iznos se odnosi na bankovne troškove redovnom financijskog poslovanja</w:t>
      </w:r>
      <w:r w:rsidR="0010367D" w:rsidRPr="00D80B38">
        <w:rPr>
          <w:rFonts w:ascii="Book Antiqua" w:hAnsi="Book Antiqua" w:cs="Arial"/>
        </w:rPr>
        <w:t>.</w:t>
      </w:r>
    </w:p>
    <w:p w14:paraId="7D4400CD" w14:textId="77777777" w:rsidR="00A27A25" w:rsidRPr="00D80B38" w:rsidRDefault="00A27A25" w:rsidP="00EC2D87">
      <w:pPr>
        <w:spacing w:after="0"/>
        <w:jc w:val="both"/>
        <w:rPr>
          <w:rFonts w:ascii="Book Antiqua" w:hAnsi="Book Antiqua" w:cs="Arial"/>
          <w:b/>
          <w:bCs/>
        </w:rPr>
      </w:pPr>
    </w:p>
    <w:p w14:paraId="056C8350" w14:textId="77CC116F" w:rsidR="00EC2D87" w:rsidRPr="00D80B38" w:rsidRDefault="00EC2D87" w:rsidP="00EC2D8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366 Pomoći proračunskim korisnicima drugih proračuna</w:t>
      </w:r>
    </w:p>
    <w:p w14:paraId="6AC5C5DC" w14:textId="311D32A2" w:rsidR="00EC2D87" w:rsidRDefault="00EC2D87" w:rsidP="00EC2D8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Iskazani iznos se odnosi </w:t>
      </w:r>
      <w:r w:rsidR="005033FC">
        <w:rPr>
          <w:rFonts w:ascii="Book Antiqua" w:hAnsi="Book Antiqua" w:cs="Arial"/>
        </w:rPr>
        <w:t>se na tekuće pomoći proračunskim korisnicima</w:t>
      </w:r>
    </w:p>
    <w:p w14:paraId="482C2EE4" w14:textId="620FC9F3" w:rsidR="005033FC" w:rsidRDefault="005033FC" w:rsidP="00EC2D87">
      <w:pPr>
        <w:spacing w:after="0"/>
        <w:jc w:val="both"/>
        <w:rPr>
          <w:rFonts w:ascii="Book Antiqua" w:hAnsi="Book Antiqua" w:cs="Arial"/>
        </w:rPr>
      </w:pPr>
    </w:p>
    <w:p w14:paraId="12C3696A" w14:textId="606F5D5C" w:rsidR="005033FC" w:rsidRDefault="005033FC" w:rsidP="00EC2D87">
      <w:pPr>
        <w:spacing w:after="0"/>
        <w:jc w:val="both"/>
        <w:rPr>
          <w:rFonts w:ascii="Book Antiqua" w:hAnsi="Book Antiqua" w:cs="Arial"/>
          <w:b/>
        </w:rPr>
      </w:pPr>
      <w:r w:rsidRPr="005033FC">
        <w:rPr>
          <w:rFonts w:ascii="Book Antiqua" w:hAnsi="Book Antiqua" w:cs="Arial"/>
          <w:b/>
        </w:rPr>
        <w:t>367 Prijenosi proračunskim korisnicima iz nadležnog proračuna za financiranje redovne djelatnosti</w:t>
      </w:r>
    </w:p>
    <w:p w14:paraId="49C5113B" w14:textId="4F560FF7" w:rsidR="005033FC" w:rsidRPr="005033FC" w:rsidRDefault="005033FC" w:rsidP="005033FC">
      <w:pPr>
        <w:spacing w:after="0"/>
        <w:jc w:val="both"/>
        <w:rPr>
          <w:rFonts w:ascii="Book Antiqua" w:hAnsi="Book Antiqua" w:cs="Arial"/>
        </w:rPr>
      </w:pPr>
      <w:r w:rsidRPr="005033FC">
        <w:rPr>
          <w:rFonts w:ascii="Book Antiqua" w:hAnsi="Book Antiqua" w:cs="Arial"/>
        </w:rPr>
        <w:t>Iznos se odnosi na prijenos proračunskim korisnicima iz nadležnog proračuna za financiranje rashoda poslovanja</w:t>
      </w:r>
    </w:p>
    <w:p w14:paraId="2B5D83F1" w14:textId="49FE27AF" w:rsidR="005033FC" w:rsidRPr="005033FC" w:rsidRDefault="005033FC" w:rsidP="00EC2D87">
      <w:pPr>
        <w:spacing w:after="0"/>
        <w:jc w:val="both"/>
        <w:rPr>
          <w:rFonts w:ascii="Book Antiqua" w:hAnsi="Book Antiqua" w:cs="Arial"/>
          <w:b/>
        </w:rPr>
      </w:pPr>
    </w:p>
    <w:p w14:paraId="5E9D5031" w14:textId="4FDD2F70" w:rsidR="004365C6" w:rsidRPr="00D80B38" w:rsidRDefault="004365C6" w:rsidP="00EC2D8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372 Ostale naknade građanima i kućanstvima iz proračuna</w:t>
      </w:r>
    </w:p>
    <w:p w14:paraId="7371B440" w14:textId="7735B2A4" w:rsidR="004365C6" w:rsidRPr="00D80B38" w:rsidRDefault="004365C6" w:rsidP="00EC2D8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Iznos </w:t>
      </w:r>
      <w:r w:rsidR="0010367D" w:rsidRPr="00D80B38">
        <w:rPr>
          <w:rFonts w:ascii="Book Antiqua" w:hAnsi="Book Antiqua" w:cs="Arial"/>
        </w:rPr>
        <w:t>se odnosi na socijalna</w:t>
      </w:r>
      <w:r w:rsidRPr="00D80B38">
        <w:rPr>
          <w:rFonts w:ascii="Book Antiqua" w:hAnsi="Book Antiqua" w:cs="Arial"/>
        </w:rPr>
        <w:t xml:space="preserve"> prava </w:t>
      </w:r>
      <w:r w:rsidR="0010367D" w:rsidRPr="00D80B38">
        <w:rPr>
          <w:rFonts w:ascii="Book Antiqua" w:hAnsi="Book Antiqua" w:cs="Arial"/>
        </w:rPr>
        <w:t>stanovništva i naknade propisane odlukama</w:t>
      </w:r>
      <w:r w:rsidRPr="00D80B38">
        <w:rPr>
          <w:rFonts w:ascii="Book Antiqua" w:hAnsi="Book Antiqua" w:cs="Arial"/>
        </w:rPr>
        <w:t>.</w:t>
      </w:r>
    </w:p>
    <w:p w14:paraId="43B20CCB" w14:textId="40577DBD" w:rsidR="004365C6" w:rsidRPr="00D80B38" w:rsidRDefault="004365C6" w:rsidP="00EC2D87">
      <w:pPr>
        <w:pStyle w:val="Naslov3"/>
        <w:jc w:val="both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38 Tekuće donacije</w:t>
      </w:r>
    </w:p>
    <w:p w14:paraId="106F099C" w14:textId="30B76F5E" w:rsidR="004D4CD3" w:rsidRDefault="00114207" w:rsidP="004D4CD3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R</w:t>
      </w:r>
      <w:r w:rsidR="004365C6" w:rsidRPr="00D80B38">
        <w:rPr>
          <w:rFonts w:ascii="Book Antiqua" w:hAnsi="Book Antiqua" w:cs="Arial"/>
        </w:rPr>
        <w:t>ashodi se odnose na prijenose sredstava neprofitnim organizacija prema provedenom natječaju za redovno financiranje aktivnosti</w:t>
      </w:r>
      <w:r w:rsidRPr="00D80B38">
        <w:rPr>
          <w:rFonts w:ascii="Book Antiqua" w:hAnsi="Book Antiqua" w:cs="Arial"/>
        </w:rPr>
        <w:t>.</w:t>
      </w:r>
    </w:p>
    <w:p w14:paraId="08382C10" w14:textId="6DFF1D27" w:rsidR="008E7D8C" w:rsidRDefault="008E7D8C" w:rsidP="004D4CD3">
      <w:pPr>
        <w:spacing w:after="0"/>
        <w:jc w:val="both"/>
        <w:rPr>
          <w:rFonts w:ascii="Book Antiqua" w:hAnsi="Book Antiqua" w:cs="Arial"/>
        </w:rPr>
      </w:pPr>
    </w:p>
    <w:p w14:paraId="6F0E5BF9" w14:textId="3E7C8682" w:rsidR="008E7D8C" w:rsidRPr="00A16041" w:rsidRDefault="008E7D8C" w:rsidP="004D4CD3">
      <w:pPr>
        <w:spacing w:after="0"/>
        <w:jc w:val="both"/>
        <w:rPr>
          <w:rFonts w:ascii="Book Antiqua" w:hAnsi="Book Antiqua" w:cs="Arial"/>
          <w:b/>
        </w:rPr>
      </w:pPr>
      <w:r w:rsidRPr="00A16041">
        <w:rPr>
          <w:rFonts w:ascii="Book Antiqua" w:hAnsi="Book Antiqua" w:cs="Arial"/>
          <w:b/>
        </w:rPr>
        <w:t>411 Materijalna imovina</w:t>
      </w:r>
    </w:p>
    <w:p w14:paraId="4A4110DA" w14:textId="61E261BC" w:rsidR="008E7D8C" w:rsidRPr="00D80B38" w:rsidRDefault="008E7D8C" w:rsidP="004D4CD3">
      <w:pPr>
        <w:spacing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Iznos se odnosi na kupnju poljoprivrednog zemljišta</w:t>
      </w:r>
    </w:p>
    <w:p w14:paraId="66E43346" w14:textId="3678F322" w:rsidR="004D4CD3" w:rsidRPr="00D80B38" w:rsidRDefault="004D4CD3" w:rsidP="004D4CD3">
      <w:pPr>
        <w:spacing w:after="0"/>
        <w:jc w:val="both"/>
        <w:rPr>
          <w:rFonts w:ascii="Book Antiqua" w:hAnsi="Book Antiqua" w:cs="Arial"/>
        </w:rPr>
      </w:pPr>
    </w:p>
    <w:p w14:paraId="7958018B" w14:textId="7B5E4A87" w:rsidR="004D4CD3" w:rsidRPr="00D80B38" w:rsidRDefault="004D4CD3" w:rsidP="004D4CD3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421 Građevinski objekti</w:t>
      </w:r>
    </w:p>
    <w:p w14:paraId="6B5E0484" w14:textId="226A1481" w:rsidR="004D4CD3" w:rsidRPr="00D80B38" w:rsidRDefault="004D4CD3" w:rsidP="004D4CD3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Iznos </w:t>
      </w:r>
      <w:r w:rsidR="00114207" w:rsidRPr="00D80B38">
        <w:rPr>
          <w:rFonts w:ascii="Book Antiqua" w:hAnsi="Book Antiqua" w:cs="Arial"/>
        </w:rPr>
        <w:t xml:space="preserve">se odnosi </w:t>
      </w:r>
      <w:r w:rsidRPr="00D80B38">
        <w:rPr>
          <w:rFonts w:ascii="Book Antiqua" w:hAnsi="Book Antiqua" w:cs="Arial"/>
        </w:rPr>
        <w:t>na izgradnju cesta, staza</w:t>
      </w:r>
      <w:r w:rsidR="00114207" w:rsidRPr="00D80B38">
        <w:rPr>
          <w:rFonts w:ascii="Book Antiqua" w:hAnsi="Book Antiqua" w:cs="Arial"/>
        </w:rPr>
        <w:t>,</w:t>
      </w:r>
      <w:r w:rsidRPr="00D80B38">
        <w:rPr>
          <w:rFonts w:ascii="Book Antiqua" w:hAnsi="Book Antiqua" w:cs="Arial"/>
        </w:rPr>
        <w:t xml:space="preserve"> i </w:t>
      </w:r>
      <w:r w:rsidR="00114207" w:rsidRPr="00D80B38">
        <w:rPr>
          <w:rFonts w:ascii="Book Antiqua" w:hAnsi="Book Antiqua" w:cs="Arial"/>
        </w:rPr>
        <w:t xml:space="preserve">ostalih </w:t>
      </w:r>
      <w:r w:rsidRPr="00D80B38">
        <w:rPr>
          <w:rFonts w:ascii="Book Antiqua" w:hAnsi="Book Antiqua" w:cs="Arial"/>
        </w:rPr>
        <w:t>građevinskih objekata.</w:t>
      </w:r>
    </w:p>
    <w:p w14:paraId="2969B978" w14:textId="462665FD" w:rsidR="002E0E1A" w:rsidRPr="00D80B38" w:rsidRDefault="002E0E1A" w:rsidP="00EC2D87">
      <w:pPr>
        <w:pStyle w:val="Naslov3"/>
        <w:jc w:val="both"/>
        <w:rPr>
          <w:rFonts w:ascii="Book Antiqua" w:hAnsi="Book Antiqua" w:cs="Arial"/>
          <w:color w:val="auto"/>
        </w:rPr>
      </w:pPr>
      <w:r w:rsidRPr="00D80B38">
        <w:rPr>
          <w:rFonts w:ascii="Book Antiqua" w:hAnsi="Book Antiqua" w:cs="Arial"/>
          <w:color w:val="auto"/>
        </w:rPr>
        <w:t>422</w:t>
      </w:r>
      <w:r w:rsidR="004D4CD3" w:rsidRPr="00D80B38">
        <w:rPr>
          <w:rFonts w:ascii="Book Antiqua" w:hAnsi="Book Antiqua" w:cs="Arial"/>
          <w:color w:val="auto"/>
        </w:rPr>
        <w:t xml:space="preserve"> Postrojenje i oprema</w:t>
      </w:r>
    </w:p>
    <w:p w14:paraId="57FCF826" w14:textId="0426F7AE" w:rsidR="002E0E1A" w:rsidRDefault="00114207" w:rsidP="002E0E1A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Rashodi se</w:t>
      </w:r>
      <w:r w:rsidR="00AB72FE" w:rsidRPr="00D80B38">
        <w:rPr>
          <w:rFonts w:ascii="Book Antiqua" w:hAnsi="Book Antiqua" w:cs="Arial"/>
        </w:rPr>
        <w:t xml:space="preserve"> odnos</w:t>
      </w:r>
      <w:r w:rsidRPr="00D80B38">
        <w:rPr>
          <w:rFonts w:ascii="Book Antiqua" w:hAnsi="Book Antiqua" w:cs="Arial"/>
        </w:rPr>
        <w:t>e</w:t>
      </w:r>
      <w:r w:rsidR="00AB72FE" w:rsidRPr="00D80B38">
        <w:rPr>
          <w:rFonts w:ascii="Book Antiqua" w:hAnsi="Book Antiqua" w:cs="Arial"/>
        </w:rPr>
        <w:t xml:space="preserve"> na opremanje objekata</w:t>
      </w:r>
      <w:r w:rsidR="00E81DE7" w:rsidRPr="00D80B38">
        <w:rPr>
          <w:rFonts w:ascii="Book Antiqua" w:hAnsi="Book Antiqua" w:cs="Arial"/>
        </w:rPr>
        <w:t>.</w:t>
      </w:r>
    </w:p>
    <w:p w14:paraId="65F87433" w14:textId="55375EC0" w:rsidR="00827C33" w:rsidRDefault="00827C33" w:rsidP="00827C33">
      <w:pPr>
        <w:spacing w:after="0" w:line="240" w:lineRule="auto"/>
        <w:jc w:val="both"/>
        <w:rPr>
          <w:rFonts w:ascii="Book Antiqua" w:hAnsi="Book Antiqua" w:cs="Arial"/>
          <w:b/>
        </w:rPr>
      </w:pPr>
      <w:r w:rsidRPr="00827C33">
        <w:rPr>
          <w:rFonts w:ascii="Book Antiqua" w:hAnsi="Book Antiqua" w:cs="Arial"/>
          <w:b/>
        </w:rPr>
        <w:t>426 Nematerijalna proizvedena imovina</w:t>
      </w:r>
    </w:p>
    <w:p w14:paraId="483ABF98" w14:textId="29150431" w:rsidR="00827C33" w:rsidRPr="00827C33" w:rsidRDefault="00827C33" w:rsidP="002E0E1A">
      <w:pPr>
        <w:jc w:val="both"/>
        <w:rPr>
          <w:rFonts w:ascii="Book Antiqua" w:hAnsi="Book Antiqua" w:cs="Arial"/>
        </w:rPr>
      </w:pPr>
      <w:r w:rsidRPr="00827C33">
        <w:rPr>
          <w:rFonts w:ascii="Book Antiqua" w:hAnsi="Book Antiqua" w:cs="Arial"/>
        </w:rPr>
        <w:t>Iznos se odnosi na ulaganja u računalne programe</w:t>
      </w:r>
    </w:p>
    <w:p w14:paraId="693047C2" w14:textId="28AD009C" w:rsidR="00E81DE7" w:rsidRPr="00D80B38" w:rsidRDefault="00E81DE7" w:rsidP="00E81DE7">
      <w:pPr>
        <w:spacing w:after="0"/>
        <w:jc w:val="both"/>
        <w:rPr>
          <w:rFonts w:ascii="Book Antiqua" w:hAnsi="Book Antiqua" w:cs="Arial"/>
          <w:b/>
          <w:bCs/>
        </w:rPr>
      </w:pPr>
      <w:r w:rsidRPr="00D80B38">
        <w:rPr>
          <w:rFonts w:ascii="Book Antiqua" w:hAnsi="Book Antiqua" w:cs="Arial"/>
          <w:b/>
          <w:bCs/>
        </w:rPr>
        <w:t>451 Dodatna ulaganja u građevinske objekte</w:t>
      </w:r>
    </w:p>
    <w:p w14:paraId="467560B6" w14:textId="437D48DF" w:rsidR="00E81DE7" w:rsidRPr="00D80B38" w:rsidRDefault="00E81DE7" w:rsidP="00E81DE7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Iznos </w:t>
      </w:r>
      <w:r w:rsidR="00114207" w:rsidRPr="00D80B38">
        <w:rPr>
          <w:rFonts w:ascii="Book Antiqua" w:hAnsi="Book Antiqua" w:cs="Arial"/>
        </w:rPr>
        <w:t>se</w:t>
      </w:r>
      <w:r w:rsidRPr="00D80B38">
        <w:rPr>
          <w:rFonts w:ascii="Book Antiqua" w:hAnsi="Book Antiqua" w:cs="Arial"/>
        </w:rPr>
        <w:t xml:space="preserve"> odnosi na dodatna ulaganja u objekte u vlasništvu Općine </w:t>
      </w:r>
      <w:r w:rsidR="00D80B38" w:rsidRPr="00D80B38">
        <w:rPr>
          <w:rFonts w:ascii="Book Antiqua" w:hAnsi="Book Antiqua" w:cs="Arial"/>
        </w:rPr>
        <w:t>Podcrkavlje</w:t>
      </w:r>
      <w:r w:rsidR="001C29BE" w:rsidRPr="00D80B38">
        <w:rPr>
          <w:rFonts w:ascii="Book Antiqua" w:hAnsi="Book Antiqua" w:cs="Arial"/>
        </w:rPr>
        <w:t xml:space="preserve">. </w:t>
      </w:r>
    </w:p>
    <w:p w14:paraId="1027BD77" w14:textId="77777777" w:rsidR="00E81DE7" w:rsidRPr="00D80B38" w:rsidRDefault="00E81DE7" w:rsidP="002E0E1A">
      <w:pPr>
        <w:jc w:val="both"/>
        <w:rPr>
          <w:rFonts w:ascii="Book Antiqua" w:hAnsi="Book Antiqua" w:cs="Arial"/>
        </w:rPr>
      </w:pPr>
    </w:p>
    <w:p w14:paraId="66D073BD" w14:textId="297A3AE1" w:rsidR="006B49E4" w:rsidRDefault="006B49E4" w:rsidP="00F85B0A">
      <w:pPr>
        <w:jc w:val="both"/>
        <w:rPr>
          <w:rFonts w:ascii="Book Antiqua" w:hAnsi="Book Antiqua" w:cs="Arial"/>
        </w:rPr>
      </w:pPr>
    </w:p>
    <w:p w14:paraId="5131890D" w14:textId="7463A437" w:rsidR="000B78EF" w:rsidRDefault="000B78EF" w:rsidP="00F85B0A">
      <w:pPr>
        <w:jc w:val="both"/>
        <w:rPr>
          <w:rFonts w:ascii="Book Antiqua" w:hAnsi="Book Antiqua" w:cs="Arial"/>
        </w:rPr>
      </w:pPr>
    </w:p>
    <w:p w14:paraId="2D9FD2C9" w14:textId="676625C9" w:rsidR="000B78EF" w:rsidRDefault="000B78EF" w:rsidP="00F85B0A">
      <w:pPr>
        <w:jc w:val="both"/>
        <w:rPr>
          <w:rFonts w:ascii="Book Antiqua" w:hAnsi="Book Antiqua" w:cs="Arial"/>
        </w:rPr>
      </w:pPr>
    </w:p>
    <w:p w14:paraId="54C475C5" w14:textId="77777777" w:rsidR="000B78EF" w:rsidRPr="00D80B38" w:rsidRDefault="000B78EF" w:rsidP="00F85B0A">
      <w:pPr>
        <w:jc w:val="both"/>
        <w:rPr>
          <w:rFonts w:ascii="Book Antiqua" w:hAnsi="Book Antiqua" w:cs="Arial"/>
        </w:rPr>
      </w:pPr>
    </w:p>
    <w:p w14:paraId="57ADA1E1" w14:textId="68C0B7D5" w:rsidR="00E979CB" w:rsidRPr="00D80B38" w:rsidRDefault="00E979CB" w:rsidP="00E979CB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D80B38">
        <w:rPr>
          <w:rFonts w:ascii="Book Antiqua" w:hAnsi="Book Antiqua" w:cs="Arial"/>
          <w:b/>
          <w:u w:val="single"/>
        </w:rPr>
        <w:lastRenderedPageBreak/>
        <w:t xml:space="preserve">BILJEŠKE UZ </w:t>
      </w:r>
      <w:r w:rsidR="007F3B13" w:rsidRPr="00D80B38">
        <w:rPr>
          <w:rFonts w:ascii="Book Antiqua" w:hAnsi="Book Antiqua" w:cs="Arial"/>
          <w:b/>
          <w:u w:val="single"/>
        </w:rPr>
        <w:t xml:space="preserve">IZVJEŠTAJ O </w:t>
      </w:r>
      <w:r w:rsidRPr="00D80B38">
        <w:rPr>
          <w:rFonts w:ascii="Book Antiqua" w:hAnsi="Book Antiqua" w:cs="Arial"/>
          <w:b/>
          <w:u w:val="single"/>
        </w:rPr>
        <w:t xml:space="preserve"> OBVEZ</w:t>
      </w:r>
      <w:r w:rsidR="007F3B13" w:rsidRPr="00D80B38">
        <w:rPr>
          <w:rFonts w:ascii="Book Antiqua" w:hAnsi="Book Antiqua" w:cs="Arial"/>
          <w:b/>
          <w:u w:val="single"/>
        </w:rPr>
        <w:t>AMA</w:t>
      </w:r>
    </w:p>
    <w:p w14:paraId="28F199FF" w14:textId="7382B6A1" w:rsidR="00E979CB" w:rsidRPr="00D80B38" w:rsidRDefault="00E979CB" w:rsidP="00F85B0A">
      <w:pPr>
        <w:jc w:val="both"/>
        <w:rPr>
          <w:rFonts w:ascii="Book Antiqua" w:hAnsi="Book Antiqua" w:cs="Arial"/>
        </w:rPr>
      </w:pPr>
    </w:p>
    <w:p w14:paraId="78A52FDA" w14:textId="76974D9C" w:rsidR="001C29BE" w:rsidRDefault="001C29BE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Ukupni iznos obveza na 3</w:t>
      </w:r>
      <w:r w:rsidR="00987BF1" w:rsidRPr="00D80B38">
        <w:rPr>
          <w:rFonts w:ascii="Book Antiqua" w:hAnsi="Book Antiqua" w:cs="Arial"/>
        </w:rPr>
        <w:t>1</w:t>
      </w:r>
      <w:r w:rsidRPr="00D80B38">
        <w:rPr>
          <w:rFonts w:ascii="Book Antiqua" w:hAnsi="Book Antiqua" w:cs="Arial"/>
        </w:rPr>
        <w:t>.</w:t>
      </w:r>
      <w:r w:rsidR="00987BF1" w:rsidRPr="00D80B38">
        <w:rPr>
          <w:rFonts w:ascii="Book Antiqua" w:hAnsi="Book Antiqua" w:cs="Arial"/>
        </w:rPr>
        <w:t>12</w:t>
      </w:r>
      <w:r w:rsidRPr="00D80B38">
        <w:rPr>
          <w:rFonts w:ascii="Book Antiqua" w:hAnsi="Book Antiqua" w:cs="Arial"/>
        </w:rPr>
        <w:t>.</w:t>
      </w:r>
      <w:r w:rsidR="005913EA">
        <w:rPr>
          <w:rFonts w:ascii="Book Antiqua" w:hAnsi="Book Antiqua" w:cs="Arial"/>
        </w:rPr>
        <w:t>2024.</w:t>
      </w:r>
      <w:r w:rsidRPr="00D80B38">
        <w:rPr>
          <w:rFonts w:ascii="Book Antiqua" w:hAnsi="Book Antiqua" w:cs="Arial"/>
        </w:rPr>
        <w:t xml:space="preserve"> godine iznosi </w:t>
      </w:r>
      <w:r w:rsidR="00430362">
        <w:rPr>
          <w:rFonts w:ascii="Book Antiqua" w:hAnsi="Book Antiqua" w:cs="Arial"/>
        </w:rPr>
        <w:t>457.376,36</w:t>
      </w:r>
      <w:r w:rsidR="00114207" w:rsidRPr="00D80B38">
        <w:rPr>
          <w:rFonts w:ascii="Book Antiqua" w:hAnsi="Book Antiqua" w:cs="Arial"/>
        </w:rPr>
        <w:t xml:space="preserve"> EUR</w:t>
      </w:r>
      <w:r w:rsidRPr="00D80B38">
        <w:rPr>
          <w:rFonts w:ascii="Book Antiqua" w:hAnsi="Book Antiqua" w:cs="Arial"/>
        </w:rPr>
        <w:t>.</w:t>
      </w:r>
    </w:p>
    <w:p w14:paraId="4970FEDB" w14:textId="45F94E53" w:rsidR="00114207" w:rsidRDefault="001C29BE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 xml:space="preserve">Nedospjele obveze su </w:t>
      </w:r>
      <w:r w:rsidR="00430362">
        <w:rPr>
          <w:rFonts w:ascii="Book Antiqua" w:hAnsi="Book Antiqua" w:cs="Arial"/>
        </w:rPr>
        <w:t>457.376,36</w:t>
      </w:r>
      <w:r w:rsidR="00430362" w:rsidRPr="00D80B38">
        <w:rPr>
          <w:rFonts w:ascii="Book Antiqua" w:hAnsi="Book Antiqua" w:cs="Arial"/>
        </w:rPr>
        <w:t xml:space="preserve"> </w:t>
      </w:r>
      <w:r w:rsidR="00114207" w:rsidRPr="00D80B38">
        <w:rPr>
          <w:rFonts w:ascii="Book Antiqua" w:hAnsi="Book Antiqua" w:cs="Arial"/>
        </w:rPr>
        <w:t>EUR.</w:t>
      </w:r>
    </w:p>
    <w:p w14:paraId="47DBB6C3" w14:textId="77777777" w:rsidR="001947E3" w:rsidRPr="00D80B38" w:rsidRDefault="001947E3" w:rsidP="000D547E">
      <w:pPr>
        <w:spacing w:after="0"/>
        <w:jc w:val="both"/>
        <w:rPr>
          <w:rFonts w:ascii="Book Antiqua" w:hAnsi="Book Antiqua" w:cs="Arial"/>
        </w:rPr>
      </w:pPr>
    </w:p>
    <w:p w14:paraId="2CA0F4F3" w14:textId="24455E60" w:rsidR="0002191C" w:rsidRPr="00D80B38" w:rsidRDefault="0002191C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Nedospjele o</w:t>
      </w:r>
      <w:r w:rsidR="001C29BE" w:rsidRPr="00D80B38">
        <w:rPr>
          <w:rFonts w:ascii="Book Antiqua" w:hAnsi="Book Antiqua" w:cs="Arial"/>
        </w:rPr>
        <w:t xml:space="preserve">bveze </w:t>
      </w:r>
      <w:r w:rsidR="007D40A3">
        <w:rPr>
          <w:rFonts w:ascii="Book Antiqua" w:hAnsi="Book Antiqua" w:cs="Arial"/>
        </w:rPr>
        <w:t>odnose se na</w:t>
      </w:r>
      <w:r w:rsidR="001C29BE" w:rsidRPr="00D80B38">
        <w:rPr>
          <w:rFonts w:ascii="Book Antiqua" w:hAnsi="Book Antiqua" w:cs="Arial"/>
        </w:rPr>
        <w:t xml:space="preserve"> </w:t>
      </w:r>
      <w:r w:rsidR="001947E3">
        <w:rPr>
          <w:rFonts w:ascii="Book Antiqua" w:hAnsi="Book Antiqua" w:cs="Arial"/>
        </w:rPr>
        <w:t xml:space="preserve">obveze za rashode poslovanja </w:t>
      </w:r>
      <w:r w:rsidR="00430362">
        <w:rPr>
          <w:rFonts w:ascii="Book Antiqua" w:hAnsi="Book Antiqua" w:cs="Arial"/>
        </w:rPr>
        <w:t>58.414,66</w:t>
      </w:r>
      <w:r w:rsidR="001947E3">
        <w:rPr>
          <w:rFonts w:ascii="Book Antiqua" w:hAnsi="Book Antiqua" w:cs="Arial"/>
        </w:rPr>
        <w:t xml:space="preserve"> EUR, obveze za nabavu nefinancijske imovine </w:t>
      </w:r>
      <w:r w:rsidR="00430362">
        <w:rPr>
          <w:rFonts w:ascii="Book Antiqua" w:hAnsi="Book Antiqua" w:cs="Arial"/>
        </w:rPr>
        <w:t>36.462,22</w:t>
      </w:r>
      <w:r w:rsidR="001947E3">
        <w:rPr>
          <w:rFonts w:ascii="Book Antiqua" w:hAnsi="Book Antiqua" w:cs="Arial"/>
        </w:rPr>
        <w:t xml:space="preserve"> EUR te </w:t>
      </w:r>
      <w:r w:rsidR="00202A74">
        <w:rPr>
          <w:rFonts w:ascii="Book Antiqua" w:hAnsi="Book Antiqua" w:cs="Arial"/>
        </w:rPr>
        <w:t>o</w:t>
      </w:r>
      <w:r w:rsidRPr="00D80B38">
        <w:rPr>
          <w:rFonts w:ascii="Book Antiqua" w:hAnsi="Book Antiqua" w:cs="Arial"/>
        </w:rPr>
        <w:t xml:space="preserve">bveze za financijsku imovinu – povrat u državni proračun (povrat poreza) </w:t>
      </w:r>
      <w:r w:rsidR="00202A74">
        <w:rPr>
          <w:rFonts w:ascii="Book Antiqua" w:hAnsi="Book Antiqua" w:cs="Arial"/>
        </w:rPr>
        <w:t>te obveze za kredit</w:t>
      </w:r>
      <w:r w:rsidR="001947E3">
        <w:rPr>
          <w:rFonts w:ascii="Book Antiqua" w:hAnsi="Book Antiqua" w:cs="Arial"/>
        </w:rPr>
        <w:t xml:space="preserve"> </w:t>
      </w:r>
      <w:r w:rsidR="00430362">
        <w:rPr>
          <w:rFonts w:ascii="Book Antiqua" w:hAnsi="Book Antiqua" w:cs="Arial"/>
        </w:rPr>
        <w:t>362.499,48</w:t>
      </w:r>
      <w:r w:rsidR="001947E3">
        <w:rPr>
          <w:rFonts w:ascii="Book Antiqua" w:hAnsi="Book Antiqua" w:cs="Arial"/>
        </w:rPr>
        <w:t xml:space="preserve"> EUR</w:t>
      </w:r>
    </w:p>
    <w:p w14:paraId="1BE9100A" w14:textId="05A5D470" w:rsidR="0002191C" w:rsidRPr="00D80B38" w:rsidRDefault="0002191C" w:rsidP="000D547E">
      <w:pPr>
        <w:spacing w:after="0"/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Pr="00D80B38" w:rsidRDefault="00AC1155" w:rsidP="00942C1A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14:paraId="6C755A59" w14:textId="71FA0E24" w:rsidR="00714182" w:rsidRPr="00D80B38" w:rsidRDefault="00D80B38" w:rsidP="00046D9C">
      <w:pPr>
        <w:jc w:val="both"/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>Podcrkavlje</w:t>
      </w:r>
      <w:r w:rsidR="005E5BC2" w:rsidRPr="00D80B38">
        <w:rPr>
          <w:rFonts w:ascii="Book Antiqua" w:hAnsi="Book Antiqua" w:cs="Arial"/>
        </w:rPr>
        <w:t xml:space="preserve">, </w:t>
      </w:r>
      <w:r w:rsidR="00430362">
        <w:rPr>
          <w:rFonts w:ascii="Book Antiqua" w:hAnsi="Book Antiqua" w:cs="Arial"/>
        </w:rPr>
        <w:t>10</w:t>
      </w:r>
      <w:r w:rsidR="005E5BC2" w:rsidRPr="00D80B38">
        <w:rPr>
          <w:rFonts w:ascii="Book Antiqua" w:hAnsi="Book Antiqua" w:cs="Arial"/>
        </w:rPr>
        <w:t>.</w:t>
      </w:r>
      <w:r w:rsidR="00430362">
        <w:rPr>
          <w:rFonts w:ascii="Book Antiqua" w:hAnsi="Book Antiqua" w:cs="Arial"/>
        </w:rPr>
        <w:t>0</w:t>
      </w:r>
      <w:bookmarkStart w:id="0" w:name="_GoBack"/>
      <w:bookmarkEnd w:id="0"/>
      <w:r w:rsidR="00987BF1" w:rsidRPr="00D80B38">
        <w:rPr>
          <w:rFonts w:ascii="Book Antiqua" w:hAnsi="Book Antiqua" w:cs="Arial"/>
        </w:rPr>
        <w:t>2</w:t>
      </w:r>
      <w:r w:rsidR="005E5BC2" w:rsidRPr="00D80B38">
        <w:rPr>
          <w:rFonts w:ascii="Book Antiqua" w:hAnsi="Book Antiqua" w:cs="Arial"/>
        </w:rPr>
        <w:t>.202</w:t>
      </w:r>
      <w:r w:rsidR="00430362">
        <w:rPr>
          <w:rFonts w:ascii="Book Antiqua" w:hAnsi="Book Antiqua" w:cs="Arial"/>
        </w:rPr>
        <w:t>5</w:t>
      </w:r>
      <w:r w:rsidR="005E5BC2" w:rsidRPr="00D80B38">
        <w:rPr>
          <w:rFonts w:ascii="Book Antiqua" w:hAnsi="Book Antiqua" w:cs="Arial"/>
        </w:rPr>
        <w:t>.</w:t>
      </w:r>
    </w:p>
    <w:p w14:paraId="5F3898EA" w14:textId="48E55A5B" w:rsidR="00046D9C" w:rsidRPr="00D80B38" w:rsidRDefault="00EA0EA9" w:rsidP="00046D9C">
      <w:pPr>
        <w:rPr>
          <w:rFonts w:ascii="Book Antiqua" w:hAnsi="Book Antiqua" w:cs="Arial"/>
        </w:rPr>
      </w:pP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Pr="00D80B38">
        <w:rPr>
          <w:rFonts w:ascii="Book Antiqua" w:hAnsi="Book Antiqua" w:cs="Arial"/>
        </w:rPr>
        <w:tab/>
      </w:r>
      <w:r w:rsidR="00046D9C" w:rsidRPr="00D80B38">
        <w:rPr>
          <w:rFonts w:ascii="Book Antiqua" w:hAnsi="Book Antiqua" w:cs="Arial"/>
        </w:rPr>
        <w:tab/>
      </w:r>
      <w:r w:rsidR="004C3D4F" w:rsidRPr="00D80B38">
        <w:rPr>
          <w:rFonts w:ascii="Book Antiqua" w:hAnsi="Book Antiqua" w:cs="Arial"/>
        </w:rPr>
        <w:t xml:space="preserve"> </w:t>
      </w:r>
      <w:r w:rsidR="00C176DB" w:rsidRPr="00D80B38">
        <w:rPr>
          <w:rFonts w:ascii="Book Antiqua" w:hAnsi="Book Antiqua" w:cs="Arial"/>
        </w:rPr>
        <w:t xml:space="preserve">       </w:t>
      </w:r>
      <w:r w:rsidR="004C3D4F" w:rsidRPr="00D80B38">
        <w:rPr>
          <w:rFonts w:ascii="Book Antiqua" w:hAnsi="Book Antiqua" w:cs="Arial"/>
        </w:rPr>
        <w:t xml:space="preserve">   </w:t>
      </w:r>
      <w:r w:rsidR="00912F96" w:rsidRPr="00D80B38">
        <w:rPr>
          <w:rFonts w:ascii="Book Antiqua" w:hAnsi="Book Antiqua" w:cs="Arial"/>
        </w:rPr>
        <w:t xml:space="preserve">    </w:t>
      </w:r>
      <w:r w:rsidR="004B74AC">
        <w:rPr>
          <w:rFonts w:ascii="Book Antiqua" w:hAnsi="Book Antiqua" w:cs="Arial"/>
        </w:rPr>
        <w:t xml:space="preserve">                                                            </w:t>
      </w:r>
      <w:r w:rsidR="00912F96" w:rsidRPr="00D80B38">
        <w:rPr>
          <w:rFonts w:ascii="Book Antiqua" w:hAnsi="Book Antiqua" w:cs="Arial"/>
        </w:rPr>
        <w:t xml:space="preserve">  </w:t>
      </w:r>
      <w:r w:rsidR="001C29BE" w:rsidRPr="00D80B38">
        <w:rPr>
          <w:rFonts w:ascii="Book Antiqua" w:hAnsi="Book Antiqua" w:cs="Arial"/>
        </w:rPr>
        <w:t>OPĆINSKI NAČELNIK</w:t>
      </w:r>
    </w:p>
    <w:p w14:paraId="3CEDFCFD" w14:textId="25E07731" w:rsidR="001C29BE" w:rsidRPr="00D80B38" w:rsidRDefault="00D80B38" w:rsidP="00D80B38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                                                                  Tomislav </w:t>
      </w:r>
      <w:proofErr w:type="spellStart"/>
      <w:r>
        <w:rPr>
          <w:rFonts w:ascii="Book Antiqua" w:hAnsi="Book Antiqua" w:cs="Arial"/>
        </w:rPr>
        <w:t>Trtanj</w:t>
      </w:r>
      <w:proofErr w:type="spellEnd"/>
    </w:p>
    <w:sectPr w:rsidR="001C29BE" w:rsidRPr="00D80B38" w:rsidSect="00F66771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94D1" w14:textId="77777777" w:rsidR="00BC46A8" w:rsidRDefault="00BC46A8" w:rsidP="002D3072">
      <w:pPr>
        <w:spacing w:after="0" w:line="240" w:lineRule="auto"/>
      </w:pPr>
      <w:r>
        <w:separator/>
      </w:r>
    </w:p>
  </w:endnote>
  <w:endnote w:type="continuationSeparator" w:id="0">
    <w:p w14:paraId="3A06C8CA" w14:textId="77777777" w:rsidR="00BC46A8" w:rsidRDefault="00BC46A8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2A87CDA0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AF48CF">
          <w:rPr>
            <w:rFonts w:ascii="Arial" w:hAnsi="Arial" w:cs="Arial"/>
          </w:rPr>
          <w:t>6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15D8D" w14:textId="77777777" w:rsidR="00BC46A8" w:rsidRDefault="00BC46A8" w:rsidP="002D3072">
      <w:pPr>
        <w:spacing w:after="0" w:line="240" w:lineRule="auto"/>
      </w:pPr>
      <w:r>
        <w:separator/>
      </w:r>
    </w:p>
  </w:footnote>
  <w:footnote w:type="continuationSeparator" w:id="0">
    <w:p w14:paraId="13FF93F3" w14:textId="77777777" w:rsidR="00BC46A8" w:rsidRDefault="00BC46A8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7EE8"/>
    <w:multiLevelType w:val="hybridMultilevel"/>
    <w:tmpl w:val="8DD25A82"/>
    <w:lvl w:ilvl="0" w:tplc="73D08F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64FC9"/>
    <w:multiLevelType w:val="hybridMultilevel"/>
    <w:tmpl w:val="3AC02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15D7"/>
    <w:rsid w:val="00046D9C"/>
    <w:rsid w:val="000717DF"/>
    <w:rsid w:val="00086029"/>
    <w:rsid w:val="000946B0"/>
    <w:rsid w:val="000A239D"/>
    <w:rsid w:val="000A4D80"/>
    <w:rsid w:val="000B78EF"/>
    <w:rsid w:val="000C29B7"/>
    <w:rsid w:val="000D547E"/>
    <w:rsid w:val="000F543B"/>
    <w:rsid w:val="000F6FC7"/>
    <w:rsid w:val="00100767"/>
    <w:rsid w:val="0010367D"/>
    <w:rsid w:val="00105CFD"/>
    <w:rsid w:val="0011197B"/>
    <w:rsid w:val="00114207"/>
    <w:rsid w:val="00123860"/>
    <w:rsid w:val="00140CE7"/>
    <w:rsid w:val="00153BDB"/>
    <w:rsid w:val="001669D3"/>
    <w:rsid w:val="001727AF"/>
    <w:rsid w:val="001732FA"/>
    <w:rsid w:val="001947E3"/>
    <w:rsid w:val="001973AF"/>
    <w:rsid w:val="001A01E6"/>
    <w:rsid w:val="001A1DD9"/>
    <w:rsid w:val="001C29BE"/>
    <w:rsid w:val="001D1464"/>
    <w:rsid w:val="001D1A69"/>
    <w:rsid w:val="00202A74"/>
    <w:rsid w:val="002159D0"/>
    <w:rsid w:val="00223DB0"/>
    <w:rsid w:val="00242C53"/>
    <w:rsid w:val="002878A2"/>
    <w:rsid w:val="002C5B5E"/>
    <w:rsid w:val="002D3072"/>
    <w:rsid w:val="002D7FA3"/>
    <w:rsid w:val="002E0E1A"/>
    <w:rsid w:val="002F4C1E"/>
    <w:rsid w:val="002F528C"/>
    <w:rsid w:val="00322845"/>
    <w:rsid w:val="003243C0"/>
    <w:rsid w:val="00335263"/>
    <w:rsid w:val="00365A2B"/>
    <w:rsid w:val="00366775"/>
    <w:rsid w:val="003B5349"/>
    <w:rsid w:val="003B75DB"/>
    <w:rsid w:val="003D64EC"/>
    <w:rsid w:val="00403750"/>
    <w:rsid w:val="00430362"/>
    <w:rsid w:val="004347C5"/>
    <w:rsid w:val="004365C6"/>
    <w:rsid w:val="00443F6C"/>
    <w:rsid w:val="00453D45"/>
    <w:rsid w:val="00455AB8"/>
    <w:rsid w:val="004714A3"/>
    <w:rsid w:val="00491A7F"/>
    <w:rsid w:val="004A480C"/>
    <w:rsid w:val="004B2B8E"/>
    <w:rsid w:val="004B74AC"/>
    <w:rsid w:val="004C3D4F"/>
    <w:rsid w:val="004D4CD3"/>
    <w:rsid w:val="004F2229"/>
    <w:rsid w:val="005033FC"/>
    <w:rsid w:val="005131B8"/>
    <w:rsid w:val="00522033"/>
    <w:rsid w:val="00550A76"/>
    <w:rsid w:val="00561594"/>
    <w:rsid w:val="0056374C"/>
    <w:rsid w:val="005913EA"/>
    <w:rsid w:val="00591A50"/>
    <w:rsid w:val="005B3C9F"/>
    <w:rsid w:val="005B7076"/>
    <w:rsid w:val="005C17CA"/>
    <w:rsid w:val="005C52F0"/>
    <w:rsid w:val="005D4D14"/>
    <w:rsid w:val="005E5BC2"/>
    <w:rsid w:val="00610368"/>
    <w:rsid w:val="00612602"/>
    <w:rsid w:val="00630338"/>
    <w:rsid w:val="006437BE"/>
    <w:rsid w:val="0065106A"/>
    <w:rsid w:val="006662C6"/>
    <w:rsid w:val="00667365"/>
    <w:rsid w:val="00684672"/>
    <w:rsid w:val="006B49E4"/>
    <w:rsid w:val="006D6FBF"/>
    <w:rsid w:val="006F0429"/>
    <w:rsid w:val="006F1F56"/>
    <w:rsid w:val="00714182"/>
    <w:rsid w:val="007306DC"/>
    <w:rsid w:val="007318E4"/>
    <w:rsid w:val="00744E48"/>
    <w:rsid w:val="00746D71"/>
    <w:rsid w:val="007748A5"/>
    <w:rsid w:val="007A197D"/>
    <w:rsid w:val="007B1F23"/>
    <w:rsid w:val="007D40A3"/>
    <w:rsid w:val="007E2105"/>
    <w:rsid w:val="007F1B23"/>
    <w:rsid w:val="007F3B13"/>
    <w:rsid w:val="007F51E1"/>
    <w:rsid w:val="008100F6"/>
    <w:rsid w:val="008159BA"/>
    <w:rsid w:val="00824A8E"/>
    <w:rsid w:val="0082560D"/>
    <w:rsid w:val="00827C33"/>
    <w:rsid w:val="0083275B"/>
    <w:rsid w:val="0085190F"/>
    <w:rsid w:val="00852B3B"/>
    <w:rsid w:val="0085391D"/>
    <w:rsid w:val="00865F92"/>
    <w:rsid w:val="00873AA5"/>
    <w:rsid w:val="008765FA"/>
    <w:rsid w:val="00880369"/>
    <w:rsid w:val="008857F1"/>
    <w:rsid w:val="00890D0A"/>
    <w:rsid w:val="008B4EBE"/>
    <w:rsid w:val="008D04E4"/>
    <w:rsid w:val="008E67A1"/>
    <w:rsid w:val="008E7D8C"/>
    <w:rsid w:val="008F5CBE"/>
    <w:rsid w:val="00912F96"/>
    <w:rsid w:val="00917C65"/>
    <w:rsid w:val="009422FB"/>
    <w:rsid w:val="00942C1A"/>
    <w:rsid w:val="00951B8D"/>
    <w:rsid w:val="009526EB"/>
    <w:rsid w:val="009622F0"/>
    <w:rsid w:val="00984DBC"/>
    <w:rsid w:val="00987BF1"/>
    <w:rsid w:val="009950EA"/>
    <w:rsid w:val="009952F1"/>
    <w:rsid w:val="009B05BD"/>
    <w:rsid w:val="009B4531"/>
    <w:rsid w:val="009C1B65"/>
    <w:rsid w:val="009D298A"/>
    <w:rsid w:val="009E1409"/>
    <w:rsid w:val="009E6A9D"/>
    <w:rsid w:val="00A16041"/>
    <w:rsid w:val="00A16E27"/>
    <w:rsid w:val="00A22E24"/>
    <w:rsid w:val="00A27A25"/>
    <w:rsid w:val="00A443EF"/>
    <w:rsid w:val="00A56778"/>
    <w:rsid w:val="00A74F5D"/>
    <w:rsid w:val="00AB72FE"/>
    <w:rsid w:val="00AC1155"/>
    <w:rsid w:val="00AC46A8"/>
    <w:rsid w:val="00AF48CF"/>
    <w:rsid w:val="00B127F0"/>
    <w:rsid w:val="00B37BAA"/>
    <w:rsid w:val="00B448A3"/>
    <w:rsid w:val="00B4511D"/>
    <w:rsid w:val="00B5646B"/>
    <w:rsid w:val="00B66BB6"/>
    <w:rsid w:val="00B9618D"/>
    <w:rsid w:val="00BB5098"/>
    <w:rsid w:val="00BC3BB2"/>
    <w:rsid w:val="00BC46A8"/>
    <w:rsid w:val="00BE1DBB"/>
    <w:rsid w:val="00C176DB"/>
    <w:rsid w:val="00C24AFD"/>
    <w:rsid w:val="00C3134A"/>
    <w:rsid w:val="00C3618C"/>
    <w:rsid w:val="00C668E8"/>
    <w:rsid w:val="00C7256C"/>
    <w:rsid w:val="00C92058"/>
    <w:rsid w:val="00CA4984"/>
    <w:rsid w:val="00CC1586"/>
    <w:rsid w:val="00CE1016"/>
    <w:rsid w:val="00CF458F"/>
    <w:rsid w:val="00CF4FF6"/>
    <w:rsid w:val="00D13F57"/>
    <w:rsid w:val="00D304AC"/>
    <w:rsid w:val="00D354BB"/>
    <w:rsid w:val="00D40EE0"/>
    <w:rsid w:val="00D53F3E"/>
    <w:rsid w:val="00D54F70"/>
    <w:rsid w:val="00D57156"/>
    <w:rsid w:val="00D80B38"/>
    <w:rsid w:val="00D81629"/>
    <w:rsid w:val="00D858C5"/>
    <w:rsid w:val="00D860E6"/>
    <w:rsid w:val="00D9118C"/>
    <w:rsid w:val="00D955D4"/>
    <w:rsid w:val="00DA1E2C"/>
    <w:rsid w:val="00DF063A"/>
    <w:rsid w:val="00DF735B"/>
    <w:rsid w:val="00E11EE4"/>
    <w:rsid w:val="00E30C3D"/>
    <w:rsid w:val="00E66664"/>
    <w:rsid w:val="00E743AC"/>
    <w:rsid w:val="00E81DE7"/>
    <w:rsid w:val="00E861AF"/>
    <w:rsid w:val="00E979CB"/>
    <w:rsid w:val="00EA0EA9"/>
    <w:rsid w:val="00EA3ED2"/>
    <w:rsid w:val="00EB4AF7"/>
    <w:rsid w:val="00EB611E"/>
    <w:rsid w:val="00EC0BD0"/>
    <w:rsid w:val="00EC2D87"/>
    <w:rsid w:val="00EC36EB"/>
    <w:rsid w:val="00EC3CF2"/>
    <w:rsid w:val="00ED7794"/>
    <w:rsid w:val="00EF4B27"/>
    <w:rsid w:val="00F27B6A"/>
    <w:rsid w:val="00F311DC"/>
    <w:rsid w:val="00F4169B"/>
    <w:rsid w:val="00F445A4"/>
    <w:rsid w:val="00F66027"/>
    <w:rsid w:val="00F66771"/>
    <w:rsid w:val="00F670F2"/>
    <w:rsid w:val="00F82401"/>
    <w:rsid w:val="00F8374A"/>
    <w:rsid w:val="00F85B0A"/>
    <w:rsid w:val="00FC154D"/>
    <w:rsid w:val="00FD20AA"/>
    <w:rsid w:val="00FD4376"/>
    <w:rsid w:val="00FD7703"/>
    <w:rsid w:val="00FE4689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A568-7B5A-4BB8-9A45-52B060EB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32</cp:revision>
  <cp:lastPrinted>2023-02-14T17:53:00Z</cp:lastPrinted>
  <dcterms:created xsi:type="dcterms:W3CDTF">2024-02-13T12:52:00Z</dcterms:created>
  <dcterms:modified xsi:type="dcterms:W3CDTF">2025-02-10T10:46:00Z</dcterms:modified>
</cp:coreProperties>
</file>